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35E6F" w14:textId="77777777" w:rsidR="00DA7704" w:rsidRDefault="00C431CD">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R3-224985</w:t>
      </w:r>
    </w:p>
    <w:p w14:paraId="239A8A0A" w14:textId="77777777" w:rsidR="00DA7704" w:rsidRDefault="00C431CD">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7AAE6092" w14:textId="77777777" w:rsidR="00DA7704" w:rsidRDefault="00DA7704">
      <w:pPr>
        <w:pStyle w:val="3GPPHeader"/>
        <w:spacing w:before="120" w:after="0"/>
        <w:rPr>
          <w:rFonts w:ascii="Times New Roman" w:hAnsi="Times New Roman" w:cs="Times New Roman"/>
          <w:lang w:val="en-GB"/>
        </w:rPr>
      </w:pPr>
    </w:p>
    <w:p w14:paraId="0EBBB10F"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8.1</w:t>
      </w:r>
    </w:p>
    <w:p w14:paraId="51845534"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CC5940A"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2_RVQoE - Summary of email discussion </w:t>
      </w:r>
    </w:p>
    <w:p w14:paraId="22CD2FE8"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4B39CD1" w14:textId="77777777" w:rsidR="00DA7704" w:rsidRDefault="00C431CD">
      <w:pPr>
        <w:pStyle w:val="Heading1"/>
        <w:spacing w:before="120" w:after="0"/>
        <w:rPr>
          <w:rFonts w:ascii="Arial" w:hAnsi="Arial" w:cs="Arial"/>
          <w:lang w:val="en-GB"/>
        </w:rPr>
      </w:pPr>
      <w:r>
        <w:rPr>
          <w:rFonts w:ascii="Arial" w:hAnsi="Arial" w:cs="Arial"/>
          <w:lang w:val="en-GB"/>
        </w:rPr>
        <w:t>Introduction</w:t>
      </w:r>
    </w:p>
    <w:p w14:paraId="6993C6FB" w14:textId="77777777" w:rsidR="00DA7704" w:rsidRDefault="00C431CD">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lang w:val="en-GB"/>
        </w:rPr>
        <w:t>Thursday, August 18</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23.59 UTC.</w:t>
      </w:r>
    </w:p>
    <w:bookmarkEnd w:id="1"/>
    <w:bookmarkEnd w:id="2"/>
    <w:p w14:paraId="654568D8" w14:textId="77777777" w:rsidR="00DA7704" w:rsidRDefault="00C431CD">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2D40242"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[RAN2]</w:t>
      </w:r>
      <w:r>
        <w:rPr>
          <w:rFonts w:ascii="Times New Roman" w:hAnsi="Times New Roman" w:cs="Times New Roman"/>
          <w:color w:val="000000"/>
          <w:sz w:val="20"/>
          <w:szCs w:val="20"/>
          <w:lang w:val="en-GB"/>
        </w:rPr>
        <w:t xml:space="preserve"> LS on questions on RAN visible QoE (RAN2)</w:t>
      </w:r>
    </w:p>
    <w:p w14:paraId="0A67650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[Draft] LS Reply to Questions on RAN Visible QoE (Ericsson)</w:t>
      </w:r>
    </w:p>
    <w:p w14:paraId="3B9ADF0F"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[Eri4367]</w:t>
      </w:r>
      <w:r>
        <w:rPr>
          <w:rFonts w:ascii="Times New Roman" w:hAnsi="Times New Roman" w:cs="Times New Roman"/>
          <w:color w:val="000000"/>
          <w:sz w:val="20"/>
          <w:szCs w:val="20"/>
          <w:lang w:val="en-GB"/>
        </w:rPr>
        <w:t xml:space="preserve"> (CR TS 38.300) Correction for RVQoE (Ericsson)</w:t>
      </w:r>
    </w:p>
    <w:p w14:paraId="3F6C1A6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[Eri4368]</w:t>
      </w:r>
      <w:r>
        <w:rPr>
          <w:rFonts w:ascii="Times New Roman" w:hAnsi="Times New Roman" w:cs="Times New Roman"/>
          <w:color w:val="000000"/>
          <w:sz w:val="20"/>
          <w:szCs w:val="20"/>
          <w:lang w:val="en-GB"/>
        </w:rPr>
        <w:t xml:space="preserve"> (CR TS 38.473) Correction for RVQoE (Ericsson)</w:t>
      </w:r>
    </w:p>
    <w:p w14:paraId="313E37C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[Nok4559]</w:t>
      </w:r>
      <w:r>
        <w:rPr>
          <w:rFonts w:ascii="Times New Roman" w:hAnsi="Times New Roman" w:cs="Times New Roman"/>
          <w:color w:val="000000"/>
          <w:sz w:val="20"/>
          <w:szCs w:val="20"/>
          <w:lang w:val="en-GB"/>
        </w:rPr>
        <w:t xml:space="preserve"> Answers to RAN2 on questions on RAN visible QoE (Nokia, Nokia Shanghai Bell)</w:t>
      </w:r>
    </w:p>
    <w:p w14:paraId="3AEF0DB6"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[Hua4598]</w:t>
      </w:r>
      <w:r>
        <w:rPr>
          <w:rFonts w:ascii="Times New Roman" w:hAnsi="Times New Roman" w:cs="Times New Roman"/>
          <w:color w:val="000000"/>
          <w:sz w:val="20"/>
          <w:szCs w:val="20"/>
          <w:lang w:val="en-GB"/>
        </w:rPr>
        <w:t xml:space="preserve"> Discussion on questions on RAN visible QoE (Huawei)</w:t>
      </w:r>
    </w:p>
    <w:p w14:paraId="7FEDC3F9"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[Hua4599]</w:t>
      </w:r>
      <w:r>
        <w:rPr>
          <w:rFonts w:ascii="Times New Roman" w:hAnsi="Times New Roman" w:cs="Times New Roman"/>
          <w:color w:val="000000"/>
          <w:sz w:val="20"/>
          <w:szCs w:val="20"/>
          <w:lang w:val="en-GB"/>
        </w:rPr>
        <w:t xml:space="preserve"> [DRAFT] Reply LS on questions on RAN visible QoE (Huawei)</w:t>
      </w:r>
    </w:p>
    <w:p w14:paraId="5F8424E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Discussion on RAN visible QoE (Samsung)</w:t>
      </w:r>
    </w:p>
    <w:p w14:paraId="6B87F500"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[Sam4838]</w:t>
      </w:r>
      <w:r>
        <w:rPr>
          <w:rFonts w:ascii="Times New Roman" w:hAnsi="Times New Roman" w:cs="Times New Roman"/>
          <w:color w:val="000000"/>
          <w:sz w:val="20"/>
          <w:szCs w:val="20"/>
          <w:lang w:val="en-GB"/>
        </w:rPr>
        <w:t xml:space="preserve"> Reply LS on RAN visible QoE (Samsung)</w:t>
      </w:r>
      <w:r>
        <w:rPr>
          <w:rFonts w:ascii="Times New Roman" w:hAnsi="Times New Roman" w:cs="Times New Roman"/>
          <w:color w:val="000000"/>
          <w:sz w:val="20"/>
          <w:szCs w:val="20"/>
          <w:lang w:val="en-GB"/>
        </w:rPr>
        <w:tab/>
      </w:r>
    </w:p>
    <w:p w14:paraId="59CEE75A" w14:textId="77777777" w:rsidR="00DA7704" w:rsidRDefault="00C431CD">
      <w:pPr>
        <w:pStyle w:val="Heading1"/>
        <w:rPr>
          <w:rFonts w:ascii="Arial" w:hAnsi="Arial" w:cs="Arial"/>
          <w:lang w:val="en-GB"/>
        </w:rPr>
      </w:pPr>
      <w:bookmarkStart w:id="3" w:name="_Hlk87391000"/>
      <w:r>
        <w:rPr>
          <w:rFonts w:ascii="Arial" w:hAnsi="Arial" w:cs="Arial"/>
          <w:lang w:val="en-GB"/>
        </w:rPr>
        <w:t>For the Chairman notes</w:t>
      </w:r>
    </w:p>
    <w:p w14:paraId="718E4654" w14:textId="0C363BA4" w:rsidR="00DA7704" w:rsidRDefault="00BA6FE0" w:rsidP="00446503">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1: </w:t>
      </w:r>
      <w:r w:rsidR="00C431CD">
        <w:rPr>
          <w:rFonts w:ascii="Times New Roman" w:hAnsi="Times New Roman" w:cs="Times New Roman"/>
          <w:b/>
          <w:bCs/>
          <w:color w:val="00B050"/>
          <w:sz w:val="20"/>
          <w:szCs w:val="22"/>
          <w:lang w:val="en-GB"/>
        </w:rPr>
        <w:t>Inform RAN2 that there is no need for the RAN to instruct the UE how often it should measure the buffer level for RVQoE reports.</w:t>
      </w:r>
    </w:p>
    <w:p w14:paraId="7A2CEE29" w14:textId="198CC27E" w:rsidR="00DA7704" w:rsidRDefault="00BA6FE0" w:rsidP="00446503">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2: </w:t>
      </w:r>
      <w:r w:rsidR="00C431CD">
        <w:rPr>
          <w:rFonts w:ascii="Times New Roman" w:hAnsi="Times New Roman" w:cs="Times New Roman"/>
          <w:b/>
          <w:bCs/>
          <w:color w:val="00B050"/>
          <w:sz w:val="20"/>
          <w:szCs w:val="22"/>
          <w:lang w:val="en-GB"/>
        </w:rPr>
        <w:t>Inform RAN2 that, how often the buffer level measurements are taken, is up to UE Application layer implementation.</w:t>
      </w:r>
    </w:p>
    <w:p w14:paraId="28B99F98" w14:textId="17CD83DA" w:rsidR="00DA7704" w:rsidRDefault="00BA6FE0" w:rsidP="00446503">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lastRenderedPageBreak/>
        <w:t xml:space="preserve">Proposal 3: </w:t>
      </w:r>
      <w:r w:rsidR="00C431CD">
        <w:rPr>
          <w:rFonts w:ascii="Times New Roman" w:hAnsi="Times New Roman" w:cs="Times New Roman"/>
          <w:b/>
          <w:bCs/>
          <w:color w:val="00B050"/>
          <w:sz w:val="20"/>
          <w:szCs w:val="20"/>
          <w:lang w:val="en-GB"/>
        </w:rPr>
        <w:t>Inform RAN2 that the RAN3 agreements imply that the indication of separate periodicity for RVQoE should be optional in RRC signalling.</w:t>
      </w:r>
    </w:p>
    <w:p w14:paraId="42481105" w14:textId="351AFCA0" w:rsidR="00BA6FE0" w:rsidRDefault="00BA6FE0" w:rsidP="00446503">
      <w:pPr>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Proposal 4:</w:t>
      </w:r>
      <w:r w:rsidR="00D37D5B">
        <w:rPr>
          <w:rFonts w:ascii="Times New Roman" w:hAnsi="Times New Roman" w:cs="Times New Roman"/>
          <w:b/>
          <w:bCs/>
          <w:color w:val="00B050"/>
          <w:sz w:val="20"/>
          <w:szCs w:val="22"/>
          <w:lang w:val="en-GB"/>
        </w:rPr>
        <w:t xml:space="preserve"> Inform RAN2 that the </w:t>
      </w:r>
      <w:r w:rsidR="003A6A33">
        <w:rPr>
          <w:rFonts w:ascii="Times New Roman" w:hAnsi="Times New Roman" w:cs="Times New Roman"/>
          <w:b/>
          <w:bCs/>
          <w:color w:val="00B050"/>
          <w:sz w:val="20"/>
          <w:szCs w:val="22"/>
          <w:lang w:val="en-GB"/>
        </w:rPr>
        <w:t xml:space="preserve">application layer fills the </w:t>
      </w:r>
      <w:r w:rsidR="00D37D5B" w:rsidRPr="00D37D5B">
        <w:rPr>
          <w:rFonts w:ascii="Times New Roman" w:hAnsi="Times New Roman" w:cs="Times New Roman"/>
          <w:b/>
          <w:bCs/>
          <w:color w:val="00B050"/>
          <w:sz w:val="20"/>
          <w:szCs w:val="22"/>
          <w:lang w:val="en-GB"/>
        </w:rPr>
        <w:t xml:space="preserve">buffer level list </w:t>
      </w:r>
      <w:r w:rsidR="003A6A33">
        <w:rPr>
          <w:rFonts w:ascii="Times New Roman" w:hAnsi="Times New Roman" w:cs="Times New Roman"/>
          <w:b/>
          <w:bCs/>
          <w:color w:val="00B050"/>
          <w:sz w:val="20"/>
          <w:szCs w:val="22"/>
          <w:lang w:val="en-GB"/>
        </w:rPr>
        <w:t xml:space="preserve">in the same manner as specified for the </w:t>
      </w:r>
      <w:r w:rsidR="001E129E">
        <w:rPr>
          <w:rFonts w:ascii="Times New Roman" w:hAnsi="Times New Roman" w:cs="Times New Roman"/>
          <w:b/>
          <w:bCs/>
          <w:color w:val="00B050"/>
          <w:sz w:val="20"/>
          <w:szCs w:val="22"/>
          <w:lang w:val="en-GB"/>
        </w:rPr>
        <w:t>buffer list on the AS layer, i.e., as</w:t>
      </w:r>
      <w:r w:rsidR="00D37D5B" w:rsidRPr="00D37D5B">
        <w:rPr>
          <w:rFonts w:ascii="Times New Roman" w:hAnsi="Times New Roman" w:cs="Times New Roman"/>
          <w:b/>
          <w:bCs/>
          <w:color w:val="00B050"/>
          <w:sz w:val="20"/>
          <w:szCs w:val="22"/>
          <w:lang w:val="en-GB"/>
        </w:rPr>
        <w:t xml:space="preserve"> specified in clause 5.7.16.2 of TS 38.331</w:t>
      </w:r>
      <w:r w:rsidR="001E129E">
        <w:rPr>
          <w:rFonts w:ascii="Times New Roman" w:hAnsi="Times New Roman" w:cs="Times New Roman"/>
          <w:b/>
          <w:bCs/>
          <w:color w:val="00B050"/>
          <w:sz w:val="20"/>
          <w:szCs w:val="22"/>
          <w:lang w:val="en-GB"/>
        </w:rPr>
        <w:t>.</w:t>
      </w:r>
    </w:p>
    <w:p w14:paraId="0D912167" w14:textId="77777777" w:rsidR="00446503" w:rsidRDefault="00446503" w:rsidP="00446503">
      <w:pPr>
        <w:spacing w:before="120" w:after="0"/>
        <w:rPr>
          <w:rFonts w:ascii="Times New Roman" w:hAnsi="Times New Roman" w:cs="Times New Roman"/>
          <w:b/>
          <w:bCs/>
          <w:color w:val="00B050"/>
          <w:sz w:val="20"/>
          <w:szCs w:val="22"/>
          <w:lang w:val="en-GB"/>
        </w:rPr>
      </w:pPr>
      <w:r w:rsidRPr="00384B0F">
        <w:rPr>
          <w:rFonts w:ascii="Times New Roman" w:hAnsi="Times New Roman" w:cs="Times New Roman"/>
          <w:b/>
          <w:bCs/>
          <w:color w:val="00B050"/>
          <w:sz w:val="20"/>
          <w:szCs w:val="22"/>
          <w:lang w:val="en-GB"/>
        </w:rPr>
        <w:t xml:space="preserve">Proposal 5: If the reporting periodicity of RVQoE is larger than or equal to </w:t>
      </w:r>
      <w:r>
        <w:rPr>
          <w:rFonts w:ascii="Times New Roman" w:hAnsi="Times New Roman" w:cs="Times New Roman"/>
          <w:b/>
          <w:bCs/>
          <w:color w:val="00B050"/>
          <w:sz w:val="20"/>
          <w:szCs w:val="22"/>
          <w:lang w:val="en-GB"/>
        </w:rPr>
        <w:t>the recording periodicity for QoE buffer level measurements</w:t>
      </w:r>
      <w:r w:rsidRPr="00384B0F">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this latter value</w:t>
      </w:r>
      <w:r w:rsidRPr="00384B0F">
        <w:rPr>
          <w:rFonts w:ascii="Times New Roman" w:hAnsi="Times New Roman" w:cs="Times New Roman"/>
          <w:b/>
          <w:bCs/>
          <w:color w:val="00B050"/>
          <w:sz w:val="20"/>
          <w:szCs w:val="22"/>
          <w:lang w:val="en-GB"/>
        </w:rPr>
        <w:t xml:space="preserve"> is used as the recording periodicity for buffer level in RVQoE reports</w:t>
      </w:r>
      <w:r>
        <w:rPr>
          <w:rFonts w:ascii="Times New Roman" w:hAnsi="Times New Roman" w:cs="Times New Roman"/>
          <w:b/>
          <w:bCs/>
          <w:color w:val="00B050"/>
          <w:sz w:val="20"/>
          <w:szCs w:val="22"/>
          <w:lang w:val="en-GB"/>
        </w:rPr>
        <w:t xml:space="preserve"> as well</w:t>
      </w:r>
      <w:r w:rsidRPr="00384B0F">
        <w:rPr>
          <w:rFonts w:ascii="Times New Roman" w:hAnsi="Times New Roman" w:cs="Times New Roman"/>
          <w:b/>
          <w:bCs/>
          <w:color w:val="00B050"/>
          <w:sz w:val="20"/>
          <w:szCs w:val="22"/>
          <w:lang w:val="en-GB"/>
        </w:rPr>
        <w:t>.</w:t>
      </w:r>
    </w:p>
    <w:p w14:paraId="7A18855F" w14:textId="77777777" w:rsidR="00CE4B9D" w:rsidRDefault="00CE4B9D" w:rsidP="00CE4B9D">
      <w:pPr>
        <w:spacing w:before="120"/>
        <w:rPr>
          <w:rFonts w:ascii="Times New Roman" w:eastAsiaTheme="minorHAnsi" w:hAnsi="Times New Roman" w:cs="Times New Roman"/>
          <w:b/>
          <w:bCs/>
          <w:color w:val="2E74B5" w:themeColor="accent5" w:themeShade="BF"/>
          <w:sz w:val="18"/>
          <w:szCs w:val="20"/>
          <w:lang w:eastAsia="en-US"/>
        </w:rPr>
      </w:pPr>
      <w:r>
        <w:rPr>
          <w:rFonts w:ascii="Times New Roman" w:eastAsiaTheme="minorEastAsia" w:hAnsi="Times New Roman" w:cs="Times New Roman"/>
          <w:b/>
          <w:bCs/>
          <w:color w:val="2E74B5" w:themeColor="accent5" w:themeShade="BF"/>
          <w:sz w:val="20"/>
          <w:szCs w:val="20"/>
          <w:lang w:val="en-SE"/>
        </w:rPr>
        <w:t xml:space="preserve">Discuss </w:t>
      </w:r>
      <w:r>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6B8FEF42" w14:textId="77777777" w:rsidR="00446503" w:rsidRPr="00F44377" w:rsidRDefault="00446503" w:rsidP="00446503">
      <w:pPr>
        <w:rPr>
          <w:rFonts w:ascii="Times New Roman" w:hAnsi="Times New Roman" w:cs="Times New Roman"/>
          <w:b/>
          <w:bCs/>
          <w:color w:val="0070C0"/>
          <w:sz w:val="20"/>
          <w:szCs w:val="22"/>
        </w:rPr>
      </w:pPr>
      <w:r w:rsidRPr="00F44377">
        <w:rPr>
          <w:rFonts w:ascii="Times New Roman" w:hAnsi="Times New Roman" w:cs="Times New Roman"/>
          <w:b/>
          <w:bCs/>
          <w:color w:val="0070C0"/>
          <w:sz w:val="20"/>
          <w:szCs w:val="22"/>
        </w:rPr>
        <w:t>Discuss whether the PDU Session ID should be mandatory or optionally present in RVQoE reports.</w:t>
      </w:r>
    </w:p>
    <w:p w14:paraId="15B3962D" w14:textId="233D6A1F" w:rsidR="00F3579F" w:rsidRPr="00F3579F" w:rsidRDefault="00F3579F" w:rsidP="00446503">
      <w:pPr>
        <w:rPr>
          <w:rFonts w:ascii="Times New Roman" w:hAnsi="Times New Roman" w:cs="Times New Roman"/>
          <w:b/>
          <w:bCs/>
          <w:color w:val="0070C0"/>
          <w:sz w:val="20"/>
          <w:szCs w:val="22"/>
        </w:rPr>
      </w:pPr>
      <w:r w:rsidRPr="00F3579F">
        <w:rPr>
          <w:rFonts w:ascii="Times New Roman" w:hAnsi="Times New Roman" w:cs="Times New Roman"/>
          <w:b/>
          <w:bCs/>
          <w:color w:val="0070C0"/>
          <w:sz w:val="20"/>
          <w:szCs w:val="22"/>
        </w:rPr>
        <w:t>Discuss wh</w:t>
      </w:r>
      <w:r>
        <w:rPr>
          <w:rFonts w:ascii="Times New Roman" w:hAnsi="Times New Roman" w:cs="Times New Roman"/>
          <w:b/>
          <w:bCs/>
          <w:color w:val="0070C0"/>
          <w:sz w:val="20"/>
          <w:szCs w:val="22"/>
        </w:rPr>
        <w:t>ich o</w:t>
      </w:r>
      <w:r w:rsidR="00446503">
        <w:rPr>
          <w:rFonts w:ascii="Times New Roman" w:hAnsi="Times New Roman" w:cs="Times New Roman"/>
          <w:b/>
          <w:bCs/>
          <w:color w:val="0070C0"/>
          <w:sz w:val="20"/>
          <w:szCs w:val="22"/>
        </w:rPr>
        <w:t>ne of</w:t>
      </w:r>
      <w:r>
        <w:rPr>
          <w:rFonts w:ascii="Times New Roman" w:hAnsi="Times New Roman" w:cs="Times New Roman"/>
          <w:b/>
          <w:bCs/>
          <w:color w:val="0070C0"/>
          <w:sz w:val="20"/>
          <w:szCs w:val="22"/>
        </w:rPr>
        <w:t xml:space="preserve"> the two following two holds:</w:t>
      </w:r>
    </w:p>
    <w:p w14:paraId="2594F273" w14:textId="77777777" w:rsidR="00F3579F" w:rsidRPr="00F3579F" w:rsidRDefault="00F3579F" w:rsidP="00F3579F">
      <w:pPr>
        <w:pStyle w:val="ListParagraph"/>
        <w:numPr>
          <w:ilvl w:val="0"/>
          <w:numId w:val="10"/>
        </w:numPr>
        <w:jc w:val="left"/>
        <w:rPr>
          <w:rFonts w:ascii="Times New Roman" w:hAnsi="Times New Roman" w:cs="Times New Roman"/>
          <w:b/>
          <w:bCs/>
          <w:color w:val="0070C0"/>
        </w:rPr>
      </w:pPr>
      <w:r w:rsidRPr="00F3579F">
        <w:rPr>
          <w:rFonts w:ascii="Times New Roman" w:hAnsi="Times New Roman" w:cs="Times New Roman"/>
          <w:b/>
          <w:bCs/>
          <w:color w:val="0070C0"/>
        </w:rPr>
        <w:t xml:space="preserve">The RVQoE and QoE reports </w:t>
      </w:r>
      <w:r w:rsidRPr="00F3579F">
        <w:rPr>
          <w:rFonts w:ascii="Times New Roman" w:hAnsi="Times New Roman" w:cs="Times New Roman"/>
          <w:b/>
          <w:bCs/>
          <w:color w:val="0070C0"/>
          <w:u w:val="single"/>
        </w:rPr>
        <w:t>are always sent together</w:t>
      </w:r>
      <w:r w:rsidRPr="00F3579F">
        <w:rPr>
          <w:rFonts w:ascii="Times New Roman" w:hAnsi="Times New Roman" w:cs="Times New Roman"/>
          <w:b/>
          <w:bCs/>
          <w:color w:val="0070C0"/>
        </w:rPr>
        <w:t xml:space="preserve"> from the UE App layer to the UE AS layer.</w:t>
      </w:r>
    </w:p>
    <w:p w14:paraId="5E25DECC" w14:textId="77777777" w:rsidR="00F3579F" w:rsidRPr="00F3579F" w:rsidRDefault="00F3579F" w:rsidP="00F3579F">
      <w:pPr>
        <w:pStyle w:val="ListParagraph"/>
        <w:numPr>
          <w:ilvl w:val="0"/>
          <w:numId w:val="10"/>
        </w:numPr>
        <w:jc w:val="left"/>
        <w:rPr>
          <w:rFonts w:ascii="Times New Roman" w:hAnsi="Times New Roman" w:cs="Times New Roman"/>
          <w:b/>
          <w:bCs/>
          <w:color w:val="0070C0"/>
        </w:rPr>
      </w:pPr>
      <w:r w:rsidRPr="00F3579F">
        <w:rPr>
          <w:rFonts w:ascii="Times New Roman" w:hAnsi="Times New Roman" w:cs="Times New Roman"/>
          <w:b/>
          <w:bCs/>
          <w:color w:val="0070C0"/>
        </w:rPr>
        <w:t xml:space="preserve">It is </w:t>
      </w:r>
      <w:r w:rsidRPr="00F3579F">
        <w:rPr>
          <w:rFonts w:ascii="Times New Roman" w:hAnsi="Times New Roman" w:cs="Times New Roman"/>
          <w:b/>
          <w:bCs/>
          <w:color w:val="0070C0"/>
          <w:u w:val="single"/>
        </w:rPr>
        <w:t>up to UE implementation</w:t>
      </w:r>
      <w:r w:rsidRPr="00F3579F">
        <w:rPr>
          <w:rFonts w:ascii="Times New Roman" w:hAnsi="Times New Roman" w:cs="Times New Roman"/>
          <w:b/>
          <w:bCs/>
          <w:color w:val="0070C0"/>
        </w:rPr>
        <w:t xml:space="preserve"> whether the UE App layer sends together the QoE and RVQoE reports to the UE AS layer.</w:t>
      </w:r>
    </w:p>
    <w:p w14:paraId="742C5811" w14:textId="77777777" w:rsidR="00DA7704" w:rsidRDefault="00C431CD">
      <w:pPr>
        <w:pStyle w:val="Heading1"/>
        <w:rPr>
          <w:rFonts w:ascii="Arial" w:hAnsi="Arial" w:cs="Arial"/>
          <w:lang w:val="en-GB"/>
        </w:rPr>
      </w:pPr>
      <w:r>
        <w:rPr>
          <w:rFonts w:ascii="Arial" w:hAnsi="Arial" w:cs="Arial"/>
          <w:lang w:val="en-GB"/>
        </w:rPr>
        <w:t>Second round</w:t>
      </w:r>
    </w:p>
    <w:p w14:paraId="643B79D0" w14:textId="77777777" w:rsidR="00DA7704" w:rsidRDefault="00C431CD">
      <w:pPr>
        <w:pStyle w:val="Heading2"/>
        <w:rPr>
          <w:rFonts w:ascii="Arial" w:hAnsi="Arial" w:cs="Arial"/>
        </w:rPr>
      </w:pPr>
      <w:r>
        <w:rPr>
          <w:rFonts w:ascii="Arial" w:hAnsi="Arial" w:cs="Arial"/>
        </w:rPr>
        <w:t>Further discussion on Q1 from RAN2 LS</w:t>
      </w:r>
    </w:p>
    <w:p w14:paraId="58BD014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sz w:val="20"/>
          <w:szCs w:val="20"/>
          <w:lang w:val="en-GB"/>
        </w:rPr>
        <w:t xml:space="preserve">Inside RAN2’s Q1, the </w:t>
      </w:r>
      <w:r>
        <w:rPr>
          <w:rFonts w:ascii="Times New Roman" w:hAnsi="Times New Roman" w:cs="Times New Roman"/>
          <w:sz w:val="20"/>
          <w:szCs w:val="20"/>
          <w:highlight w:val="yellow"/>
          <w:lang w:val="en-GB"/>
        </w:rPr>
        <w:t>following</w:t>
      </w:r>
      <w:r>
        <w:rPr>
          <w:rFonts w:ascii="Times New Roman" w:hAnsi="Times New Roman" w:cs="Times New Roman"/>
          <w:sz w:val="20"/>
          <w:szCs w:val="20"/>
          <w:lang w:val="en-GB"/>
        </w:rPr>
        <w:t xml:space="preserve"> is also asked: </w:t>
      </w:r>
    </w:p>
    <w:p w14:paraId="65E78731"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 what are the assumptions on how often the application layer performs the measurements of buffer level and </w:t>
      </w:r>
      <w:r>
        <w:rPr>
          <w:rFonts w:ascii="Times New Roman" w:hAnsi="Times New Roman" w:cs="Times New Roman"/>
          <w:i/>
          <w:iCs/>
          <w:sz w:val="20"/>
          <w:szCs w:val="20"/>
          <w:highlight w:val="yellow"/>
          <w:lang w:val="en-GB"/>
        </w:rPr>
        <w:t>how the buffer level list is filled</w:t>
      </w:r>
      <w:r>
        <w:rPr>
          <w:rFonts w:ascii="Times New Roman" w:hAnsi="Times New Roman" w:cs="Times New Roman"/>
          <w:i/>
          <w:iCs/>
          <w:sz w:val="20"/>
          <w:szCs w:val="20"/>
          <w:lang w:val="en-GB"/>
        </w:rPr>
        <w:t>?</w:t>
      </w:r>
    </w:p>
    <w:p w14:paraId="7E3A40AF"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Q1-1: Assuming that the RAN need not provide to the UE measurement periodicity for the buffer level reported in RVQOE reports, how is the buffer level list for the RVQoE report filled?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03"/>
      </w:tblGrid>
      <w:tr w:rsidR="00DA7704" w14:paraId="29F575C1" w14:textId="77777777">
        <w:trPr>
          <w:trHeight w:val="325"/>
        </w:trPr>
        <w:tc>
          <w:tcPr>
            <w:tcW w:w="1378" w:type="dxa"/>
          </w:tcPr>
          <w:p w14:paraId="1BD06A45"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03" w:type="dxa"/>
          </w:tcPr>
          <w:p w14:paraId="258993B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DA7704" w14:paraId="18BC3CB6" w14:textId="77777777">
        <w:trPr>
          <w:trHeight w:val="357"/>
        </w:trPr>
        <w:tc>
          <w:tcPr>
            <w:tcW w:w="1378" w:type="dxa"/>
          </w:tcPr>
          <w:p w14:paraId="48B33A8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03" w:type="dxa"/>
          </w:tcPr>
          <w:p w14:paraId="1ED8A5C8"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 xml:space="preserve">The buffer level list is filled </w:t>
            </w:r>
            <w:r>
              <w:rPr>
                <w:rFonts w:ascii="Times New Roman" w:hAnsi="Times New Roman" w:cs="Times New Roman"/>
                <w:b/>
                <w:bCs/>
                <w:sz w:val="20"/>
                <w:szCs w:val="20"/>
                <w:lang w:val="en-GB"/>
              </w:rPr>
              <w:t>according to what is already specified in clause 5.7.16.2 of TS 38.331:</w:t>
            </w:r>
          </w:p>
          <w:p w14:paraId="785CBC99" w14:textId="77777777" w:rsidR="00DA7704" w:rsidRDefault="00C431CD">
            <w:pPr>
              <w:spacing w:before="120" w:after="0"/>
              <w:ind w:left="355"/>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set the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values in the </w:t>
            </w:r>
            <w:proofErr w:type="spellStart"/>
            <w:r>
              <w:rPr>
                <w:rFonts w:ascii="Times New Roman" w:hAnsi="Times New Roman" w:cs="Times New Roman"/>
                <w:i/>
                <w:iCs/>
                <w:sz w:val="20"/>
                <w:szCs w:val="20"/>
                <w:lang w:val="en-GB"/>
              </w:rPr>
              <w:t>appLayerBufferLevelList</w:t>
            </w:r>
            <w:proofErr w:type="spellEnd"/>
            <w:r>
              <w:rPr>
                <w:rFonts w:ascii="Times New Roman" w:hAnsi="Times New Roman" w:cs="Times New Roman"/>
                <w:i/>
                <w:iCs/>
                <w:sz w:val="20"/>
                <w:szCs w:val="20"/>
                <w:lang w:val="en-GB"/>
              </w:rPr>
              <w:t xml:space="preserve"> to the buffer level values received from the upper layer in the order with the first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newest received buffer level value, the second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second newest received buffer level value, and so on until all the buffer level values received from the upper layer have been assigned or the maximum number of values have been set according to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if configured;</w:t>
            </w:r>
          </w:p>
        </w:tc>
      </w:tr>
      <w:tr w:rsidR="00DA7704" w14:paraId="48D77037" w14:textId="77777777">
        <w:trPr>
          <w:trHeight w:val="342"/>
        </w:trPr>
        <w:tc>
          <w:tcPr>
            <w:tcW w:w="1378" w:type="dxa"/>
          </w:tcPr>
          <w:p w14:paraId="0871C0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03" w:type="dxa"/>
          </w:tcPr>
          <w:p w14:paraId="0EFE322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078AC8B7" w14:textId="77777777">
        <w:trPr>
          <w:trHeight w:val="325"/>
        </w:trPr>
        <w:tc>
          <w:tcPr>
            <w:tcW w:w="1378" w:type="dxa"/>
          </w:tcPr>
          <w:p w14:paraId="0BF8CA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8403" w:type="dxa"/>
          </w:tcPr>
          <w:p w14:paraId="6280F02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with above</w:t>
            </w:r>
          </w:p>
        </w:tc>
      </w:tr>
      <w:tr w:rsidR="00DA7704" w14:paraId="3EEED5F5" w14:textId="77777777">
        <w:trPr>
          <w:trHeight w:val="325"/>
        </w:trPr>
        <w:tc>
          <w:tcPr>
            <w:tcW w:w="1378" w:type="dxa"/>
          </w:tcPr>
          <w:p w14:paraId="7242CA3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lastRenderedPageBreak/>
              <w:t>H</w:t>
            </w:r>
            <w:r>
              <w:rPr>
                <w:rFonts w:ascii="Times New Roman" w:eastAsia="SimSun" w:hAnsi="Times New Roman" w:cs="Times New Roman"/>
                <w:sz w:val="20"/>
                <w:szCs w:val="20"/>
                <w:lang w:val="en-GB" w:eastAsia="zh-CN"/>
              </w:rPr>
              <w:t>uawei</w:t>
            </w:r>
          </w:p>
        </w:tc>
        <w:tc>
          <w:tcPr>
            <w:tcW w:w="8403" w:type="dxa"/>
          </w:tcPr>
          <w:p w14:paraId="07540F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We follow legacy QoE configuration.</w:t>
            </w:r>
          </w:p>
        </w:tc>
      </w:tr>
      <w:tr w:rsidR="00DA7704" w14:paraId="4988D617" w14:textId="77777777">
        <w:trPr>
          <w:trHeight w:val="342"/>
        </w:trPr>
        <w:tc>
          <w:tcPr>
            <w:tcW w:w="1378" w:type="dxa"/>
          </w:tcPr>
          <w:p w14:paraId="6B92F17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03" w:type="dxa"/>
          </w:tcPr>
          <w:p w14:paraId="7F465DC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E///</w:t>
            </w:r>
          </w:p>
        </w:tc>
      </w:tr>
      <w:tr w:rsidR="00197FFC" w14:paraId="1E63E589" w14:textId="77777777">
        <w:trPr>
          <w:trHeight w:val="342"/>
        </w:trPr>
        <w:tc>
          <w:tcPr>
            <w:tcW w:w="1378" w:type="dxa"/>
          </w:tcPr>
          <w:p w14:paraId="218A03C1" w14:textId="307765EE" w:rsidR="00197FFC" w:rsidRDefault="00197FFC" w:rsidP="00197F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w:t>
            </w:r>
            <w:r>
              <w:rPr>
                <w:rFonts w:ascii="Times New Roman" w:eastAsiaTheme="minorEastAsia" w:hAnsi="Times New Roman" w:cs="Times New Roman"/>
                <w:sz w:val="20"/>
                <w:szCs w:val="20"/>
                <w:lang w:val="en-GB" w:eastAsia="zh-CN"/>
              </w:rPr>
              <w:t>ung</w:t>
            </w:r>
          </w:p>
        </w:tc>
        <w:tc>
          <w:tcPr>
            <w:tcW w:w="8403" w:type="dxa"/>
          </w:tcPr>
          <w:p w14:paraId="6F8E239D"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condition of </w:t>
            </w:r>
            <w:r>
              <w:rPr>
                <w:rFonts w:ascii="Times New Roman" w:eastAsiaTheme="minorEastAsia" w:hAnsi="Times New Roman" w:cs="Times New Roman" w:hint="eastAsia"/>
                <w:sz w:val="20"/>
                <w:szCs w:val="20"/>
                <w:lang w:val="en-GB" w:eastAsia="zh-CN"/>
              </w:rPr>
              <w:t>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mentione</w:t>
            </w:r>
            <w:r>
              <w:rPr>
                <w:rFonts w:ascii="Times New Roman" w:eastAsiaTheme="minorEastAsia" w:hAnsi="Times New Roman" w:cs="Times New Roman"/>
                <w:sz w:val="20"/>
                <w:szCs w:val="20"/>
                <w:lang w:val="en-GB" w:eastAsia="zh-CN"/>
              </w:rPr>
              <w:t>d how to fill in TS38.331 is as following:</w:t>
            </w:r>
          </w:p>
          <w:p w14:paraId="3AF93B2B" w14:textId="77777777" w:rsidR="00197FFC" w:rsidRPr="00A737B6"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t xml:space="preserve">2&gt;if </w:t>
            </w:r>
            <w:r w:rsidRPr="004D1414">
              <w:rPr>
                <w:rFonts w:ascii="Times New Roman" w:eastAsiaTheme="minorEastAsia" w:hAnsi="Times New Roman" w:cs="Times New Roman"/>
                <w:sz w:val="20"/>
                <w:szCs w:val="20"/>
                <w:highlight w:val="yellow"/>
                <w:lang w:val="en-GB" w:eastAsia="zh-CN"/>
              </w:rPr>
              <w:t>RAN visible application layer measurement report has been received from upper layers</w:t>
            </w:r>
            <w:r w:rsidRPr="00A737B6">
              <w:rPr>
                <w:rFonts w:ascii="Times New Roman" w:eastAsiaTheme="minorEastAsia" w:hAnsi="Times New Roman" w:cs="Times New Roman"/>
                <w:sz w:val="20"/>
                <w:szCs w:val="20"/>
                <w:lang w:val="en-GB" w:eastAsia="zh-CN"/>
              </w:rPr>
              <w:t>:</w:t>
            </w:r>
          </w:p>
          <w:p w14:paraId="065FA14A" w14:textId="77777777" w:rsidR="00197FFC"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t xml:space="preserve">3&gt;for each </w:t>
            </w:r>
            <w:proofErr w:type="spellStart"/>
            <w:r w:rsidRPr="00A737B6">
              <w:rPr>
                <w:rFonts w:ascii="Times New Roman" w:eastAsiaTheme="minorEastAsia" w:hAnsi="Times New Roman" w:cs="Times New Roman"/>
                <w:sz w:val="20"/>
                <w:szCs w:val="20"/>
                <w:lang w:val="en-GB" w:eastAsia="zh-CN"/>
              </w:rPr>
              <w:t>appLayerBufferLevel</w:t>
            </w:r>
            <w:proofErr w:type="spellEnd"/>
            <w:r w:rsidRPr="00A737B6">
              <w:rPr>
                <w:rFonts w:ascii="Times New Roman" w:eastAsiaTheme="minorEastAsia" w:hAnsi="Times New Roman" w:cs="Times New Roman"/>
                <w:sz w:val="20"/>
                <w:szCs w:val="20"/>
                <w:lang w:val="en-GB" w:eastAsia="zh-CN"/>
              </w:rPr>
              <w:t xml:space="preserve"> value in the received RAN visible application layer measurement report:</w:t>
            </w:r>
          </w:p>
          <w:p w14:paraId="1DBB3DFF"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 xml:space="preserve">he condition 2&gt; indicates the RAN visible application layer measurement report has been received from upper layers. App layer has filled in the buffer level list for RVQoE report and sent it to AS layer by AT </w:t>
            </w:r>
            <w:proofErr w:type="spellStart"/>
            <w:r>
              <w:rPr>
                <w:rFonts w:ascii="Times New Roman" w:eastAsiaTheme="minorEastAsia" w:hAnsi="Times New Roman" w:cs="Times New Roman"/>
                <w:sz w:val="20"/>
                <w:szCs w:val="20"/>
                <w:lang w:val="en-GB" w:eastAsia="zh-CN"/>
              </w:rPr>
              <w:t>cmd</w:t>
            </w:r>
            <w:proofErr w:type="spellEnd"/>
            <w:r>
              <w:rPr>
                <w:rFonts w:ascii="Times New Roman" w:eastAsiaTheme="minorEastAsia" w:hAnsi="Times New Roman" w:cs="Times New Roman"/>
                <w:sz w:val="20"/>
                <w:szCs w:val="20"/>
                <w:lang w:val="en-GB" w:eastAsia="zh-CN"/>
              </w:rPr>
              <w:t xml:space="preserve"> +</w:t>
            </w:r>
            <w:r w:rsidRPr="002A5DF3">
              <w:rPr>
                <w:rFonts w:ascii="Times New Roman" w:eastAsiaTheme="minorEastAsia" w:hAnsi="Times New Roman" w:cs="Times New Roman"/>
                <w:sz w:val="20"/>
                <w:szCs w:val="20"/>
                <w:lang w:val="en-GB" w:eastAsia="zh-CN"/>
              </w:rPr>
              <w:t>+CAPPLEVMRNR</w:t>
            </w:r>
            <w:r>
              <w:rPr>
                <w:rFonts w:ascii="Times New Roman" w:eastAsiaTheme="minorEastAsia" w:hAnsi="Times New Roman" w:cs="Times New Roman"/>
                <w:sz w:val="20"/>
                <w:szCs w:val="20"/>
                <w:lang w:val="en-GB" w:eastAsia="zh-CN"/>
              </w:rPr>
              <w:t>.(C1-224306 is the reference)</w:t>
            </w:r>
          </w:p>
          <w:p w14:paraId="33461643"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 think the question from RAN2 is to ask how the buffer level list for RVQoE report is filled by the Application layer instead of the AS layer defined in TS38.331. </w:t>
            </w:r>
          </w:p>
          <w:p w14:paraId="22D0CBC7"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the principle is similar. The proposed answer is as following:</w:t>
            </w:r>
          </w:p>
          <w:p w14:paraId="46BEBCF5" w14:textId="3F26570D" w:rsidR="00197FFC" w:rsidRDefault="00197FFC" w:rsidP="00197FFC">
            <w:pPr>
              <w:spacing w:before="120" w:after="0"/>
              <w:rPr>
                <w:rFonts w:ascii="Times New Roman" w:eastAsiaTheme="minorEastAsia" w:hAnsi="Times New Roman" w:cs="Times New Roman"/>
                <w:sz w:val="20"/>
                <w:szCs w:val="20"/>
                <w:lang w:eastAsia="zh-CN"/>
              </w:rPr>
            </w:pPr>
            <w:r w:rsidRPr="002D4182">
              <w:rPr>
                <w:rFonts w:ascii="Times New Roman" w:eastAsiaTheme="minorEastAsia" w:hAnsi="Times New Roman" w:cs="Times New Roman"/>
                <w:i/>
                <w:iCs/>
                <w:sz w:val="20"/>
                <w:szCs w:val="20"/>
                <w:lang w:val="en-GB" w:eastAsia="zh-CN"/>
              </w:rPr>
              <w:t xml:space="preserve">Application layer should set the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values in the list of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to the buffer level values from the legacy QoE report in the order with the first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newest recorded buffer level value, the second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second newest recorded buffer level value and so on until all the buffer level values recorded have been assigned or the maximum number of values have been set according to </w:t>
            </w:r>
            <w:proofErr w:type="spellStart"/>
            <w:r w:rsidRPr="002D4182">
              <w:rPr>
                <w:rFonts w:ascii="Times New Roman" w:eastAsiaTheme="minorEastAsia" w:hAnsi="Times New Roman" w:cs="Times New Roman"/>
                <w:i/>
                <w:iCs/>
                <w:sz w:val="20"/>
                <w:szCs w:val="20"/>
                <w:lang w:val="en-GB" w:eastAsia="zh-CN"/>
              </w:rPr>
              <w:t>number_of_buffer_level_entries</w:t>
            </w:r>
            <w:proofErr w:type="spellEnd"/>
            <w:r w:rsidRPr="002D4182">
              <w:rPr>
                <w:rFonts w:ascii="Times New Roman" w:eastAsiaTheme="minorEastAsia" w:hAnsi="Times New Roman" w:cs="Times New Roman"/>
                <w:i/>
                <w:iCs/>
                <w:sz w:val="20"/>
                <w:szCs w:val="20"/>
                <w:lang w:val="en-GB" w:eastAsia="zh-CN"/>
              </w:rPr>
              <w:t>, if configured;</w:t>
            </w:r>
            <w:r>
              <w:rPr>
                <w:rFonts w:ascii="Times New Roman" w:eastAsiaTheme="minorEastAsia" w:hAnsi="Times New Roman" w:cs="Times New Roman"/>
                <w:sz w:val="20"/>
                <w:szCs w:val="20"/>
                <w:lang w:val="en-GB" w:eastAsia="zh-CN"/>
              </w:rPr>
              <w:t xml:space="preserve"> </w:t>
            </w:r>
          </w:p>
        </w:tc>
      </w:tr>
      <w:tr w:rsidR="00DA7704" w14:paraId="1745A36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698D23" w14:textId="435C89E4"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8403" w:type="dxa"/>
            <w:tcBorders>
              <w:top w:val="single" w:sz="4" w:space="0" w:color="auto"/>
              <w:left w:val="single" w:sz="4" w:space="0" w:color="auto"/>
              <w:bottom w:val="single" w:sz="4" w:space="0" w:color="auto"/>
              <w:right w:val="single" w:sz="4" w:space="0" w:color="auto"/>
            </w:tcBorders>
          </w:tcPr>
          <w:p w14:paraId="615865C8" w14:textId="7A19688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expect that Samsung's analysis is correct</w:t>
            </w:r>
          </w:p>
        </w:tc>
      </w:tr>
      <w:tr w:rsidR="00DA7704" w14:paraId="6BEE7B75" w14:textId="77777777">
        <w:trPr>
          <w:trHeight w:val="325"/>
        </w:trPr>
        <w:tc>
          <w:tcPr>
            <w:tcW w:w="1378" w:type="dxa"/>
          </w:tcPr>
          <w:p w14:paraId="659AF9B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8403" w:type="dxa"/>
          </w:tcPr>
          <w:p w14:paraId="056AC404" w14:textId="77777777" w:rsidR="00DA7704" w:rsidRDefault="00DA7704">
            <w:pPr>
              <w:spacing w:before="120" w:after="0"/>
              <w:rPr>
                <w:rFonts w:ascii="Times New Roman" w:eastAsia="MS ??" w:hAnsi="Times New Roman" w:cs="Times New Roman"/>
                <w:sz w:val="20"/>
                <w:szCs w:val="20"/>
                <w:lang w:val="en-GB" w:eastAsia="zh-CN"/>
              </w:rPr>
            </w:pPr>
          </w:p>
        </w:tc>
      </w:tr>
    </w:tbl>
    <w:p w14:paraId="37032593" w14:textId="773E7B9C"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3191A11" w14:textId="52B672AA" w:rsidR="00C56139" w:rsidRPr="00DF1620" w:rsidRDefault="00DF1620">
      <w:pPr>
        <w:ind w:left="-90"/>
        <w:rPr>
          <w:rFonts w:ascii="Times New Roman" w:hAnsi="Times New Roman" w:cs="Times New Roman"/>
          <w:color w:val="0070C0"/>
          <w:sz w:val="20"/>
          <w:szCs w:val="22"/>
        </w:rPr>
      </w:pPr>
      <w:r>
        <w:rPr>
          <w:rFonts w:ascii="Times New Roman" w:hAnsi="Times New Roman" w:cs="Times New Roman"/>
          <w:color w:val="0070C0"/>
          <w:sz w:val="20"/>
          <w:szCs w:val="22"/>
        </w:rPr>
        <w:t>Apparent</w:t>
      </w:r>
      <w:r w:rsidRPr="00DF1620">
        <w:rPr>
          <w:rFonts w:ascii="Times New Roman" w:hAnsi="Times New Roman" w:cs="Times New Roman"/>
          <w:color w:val="0070C0"/>
          <w:sz w:val="20"/>
          <w:szCs w:val="22"/>
        </w:rPr>
        <w:t xml:space="preserve"> consensus.</w:t>
      </w:r>
    </w:p>
    <w:p w14:paraId="19ADCA3E" w14:textId="77777777" w:rsidR="00DF1620" w:rsidRDefault="00DF1620" w:rsidP="00DF1620">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t xml:space="preserve">Proposal 4: Inform RAN2 that the application layer fills the </w:t>
      </w:r>
      <w:r w:rsidRPr="00D37D5B">
        <w:rPr>
          <w:rFonts w:ascii="Times New Roman" w:hAnsi="Times New Roman" w:cs="Times New Roman"/>
          <w:b/>
          <w:bCs/>
          <w:color w:val="00B050"/>
          <w:sz w:val="20"/>
          <w:szCs w:val="22"/>
          <w:lang w:val="en-GB"/>
        </w:rPr>
        <w:t xml:space="preserve">buffer level list </w:t>
      </w:r>
      <w:r>
        <w:rPr>
          <w:rFonts w:ascii="Times New Roman" w:hAnsi="Times New Roman" w:cs="Times New Roman"/>
          <w:b/>
          <w:bCs/>
          <w:color w:val="00B050"/>
          <w:sz w:val="20"/>
          <w:szCs w:val="22"/>
          <w:lang w:val="en-GB"/>
        </w:rPr>
        <w:t>in the same manner as specified for the buffer list on the AS layer, i.e., as</w:t>
      </w:r>
      <w:r w:rsidRPr="00D37D5B">
        <w:rPr>
          <w:rFonts w:ascii="Times New Roman" w:hAnsi="Times New Roman" w:cs="Times New Roman"/>
          <w:b/>
          <w:bCs/>
          <w:color w:val="00B050"/>
          <w:sz w:val="20"/>
          <w:szCs w:val="22"/>
          <w:lang w:val="en-GB"/>
        </w:rPr>
        <w:t xml:space="preserve"> specified in clause 5.7.16.2 of TS 38.331</w:t>
      </w:r>
      <w:r>
        <w:rPr>
          <w:rFonts w:ascii="Times New Roman" w:hAnsi="Times New Roman" w:cs="Times New Roman"/>
          <w:b/>
          <w:bCs/>
          <w:color w:val="00B050"/>
          <w:sz w:val="20"/>
          <w:szCs w:val="22"/>
          <w:lang w:val="en-GB"/>
        </w:rPr>
        <w:t>.</w:t>
      </w:r>
    </w:p>
    <w:p w14:paraId="639DE03F" w14:textId="77777777" w:rsidR="00DF1620" w:rsidRDefault="00DF1620">
      <w:pPr>
        <w:ind w:left="-90"/>
        <w:rPr>
          <w:rFonts w:ascii="Times New Roman" w:hAnsi="Times New Roman" w:cs="Times New Roman"/>
          <w:b/>
          <w:bCs/>
          <w:color w:val="0070C0"/>
          <w:sz w:val="20"/>
          <w:szCs w:val="22"/>
          <w:u w:val="single"/>
        </w:rPr>
      </w:pPr>
    </w:p>
    <w:p w14:paraId="42C584C0" w14:textId="77777777" w:rsidR="00C56139" w:rsidRDefault="00C56139">
      <w:pPr>
        <w:ind w:left="-90"/>
        <w:rPr>
          <w:rFonts w:ascii="Times New Roman" w:hAnsi="Times New Roman" w:cs="Times New Roman"/>
          <w:b/>
          <w:bCs/>
          <w:color w:val="0070C0"/>
          <w:sz w:val="20"/>
          <w:szCs w:val="22"/>
          <w:u w:val="single"/>
        </w:rPr>
      </w:pPr>
    </w:p>
    <w:p w14:paraId="0EC54BCD"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RAN2 also asked in Q1:</w:t>
      </w:r>
    </w:p>
    <w:p w14:paraId="41F9B151" w14:textId="77777777" w:rsidR="00DA7704" w:rsidRDefault="00C431CD">
      <w:pPr>
        <w:spacing w:before="120" w:after="0"/>
        <w:ind w:left="567"/>
        <w:rPr>
          <w:rFonts w:ascii="Times New Roman" w:hAnsi="Times New Roman" w:cs="Times New Roman"/>
          <w:i/>
          <w:sz w:val="20"/>
          <w:szCs w:val="20"/>
          <w:u w:val="single"/>
        </w:rPr>
      </w:pPr>
      <w:r>
        <w:rPr>
          <w:rFonts w:ascii="Times New Roman" w:hAnsi="Times New Roman" w:cs="Times New Roman"/>
          <w:iCs/>
          <w:sz w:val="20"/>
          <w:szCs w:val="20"/>
        </w:rPr>
        <w:t>…</w:t>
      </w:r>
      <w:r>
        <w:rPr>
          <w:rFonts w:ascii="Times New Roman" w:hAnsi="Times New Roman" w:cs="Times New Roman"/>
          <w:i/>
          <w:sz w:val="20"/>
          <w:szCs w:val="20"/>
        </w:rPr>
        <w:t xml:space="preserve"> what are the assumptions on </w:t>
      </w:r>
      <w:r>
        <w:rPr>
          <w:rFonts w:ascii="Times New Roman" w:hAnsi="Times New Roman" w:cs="Times New Roman"/>
          <w:i/>
          <w:sz w:val="20"/>
          <w:szCs w:val="20"/>
          <w:highlight w:val="yellow"/>
        </w:rPr>
        <w:t>how often the application layer performs the measurements of buffer level</w:t>
      </w:r>
      <w:r>
        <w:rPr>
          <w:rFonts w:ascii="Times New Roman" w:hAnsi="Times New Roman" w:cs="Times New Roman"/>
          <w:i/>
          <w:sz w:val="20"/>
          <w:szCs w:val="20"/>
        </w:rPr>
        <w:t xml:space="preserve"> …?</w:t>
      </w:r>
    </w:p>
    <w:p w14:paraId="231452F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it is proposed that </w:t>
      </w:r>
      <w:r>
        <w:rPr>
          <w:rFonts w:ascii="Times New Roman" w:eastAsiaTheme="minorEastAsia" w:hAnsi="Times New Roman" w:cs="Times New Roman"/>
          <w:sz w:val="20"/>
          <w:szCs w:val="20"/>
          <w:lang w:eastAsia="zh-CN"/>
        </w:rPr>
        <w:t xml:space="preserve">RAN3 considers the buffer level recording periodicity in legacy QoE report, which is helpful to determine the value of RVQoE periodicity value. The buffer level recording periodicity in legacy QoE report </w:t>
      </w:r>
      <w:r>
        <w:rPr>
          <w:rFonts w:ascii="Times New Roman" w:hAnsi="Times New Roman" w:cs="Times New Roman"/>
          <w:sz w:val="20"/>
          <w:szCs w:val="20"/>
          <w:lang w:val="en-GB"/>
        </w:rPr>
        <w:t>(in milliseconds)</w:t>
      </w:r>
      <w:r>
        <w:rPr>
          <w:rFonts w:ascii="Times New Roman" w:eastAsiaTheme="minorEastAsia" w:hAnsi="Times New Roman" w:cs="Times New Roman"/>
          <w:sz w:val="20"/>
          <w:szCs w:val="20"/>
          <w:lang w:eastAsia="zh-CN"/>
        </w:rPr>
        <w:t>,</w:t>
      </w:r>
      <w:r>
        <w:rPr>
          <w:rFonts w:ascii="Times New Roman" w:hAnsi="Times New Roman" w:cs="Times New Roman"/>
          <w:i/>
          <w:iCs/>
          <w:sz w:val="20"/>
          <w:szCs w:val="20"/>
          <w:lang w:val="en-GB"/>
        </w:rPr>
        <w:t xml:space="preserve"> n</w:t>
      </w:r>
      <w:r>
        <w:rPr>
          <w:rFonts w:ascii="Times New Roman" w:hAnsi="Times New Roman" w:cs="Times New Roman"/>
          <w:sz w:val="20"/>
          <w:szCs w:val="20"/>
          <w:lang w:val="en-GB"/>
        </w:rPr>
        <w:t xml:space="preserve">, is included in the QoE configuration container. </w:t>
      </w:r>
    </w:p>
    <w:p w14:paraId="5DBF555F" w14:textId="77777777" w:rsidR="00DA7704" w:rsidRDefault="00DA7704">
      <w:pPr>
        <w:rPr>
          <w:rFonts w:ascii="Times New Roman" w:eastAsiaTheme="minorEastAsia" w:hAnsi="Times New Roman" w:cs="Times New Roman"/>
          <w:sz w:val="20"/>
          <w:szCs w:val="20"/>
          <w:lang w:eastAsia="zh-CN"/>
        </w:rPr>
      </w:pPr>
    </w:p>
    <w:p w14:paraId="103B0B96" w14:textId="77777777" w:rsidR="00DA7704" w:rsidRDefault="00C431CD">
      <w:pPr>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 xml:space="preserve">The Moderator notes </w:t>
      </w:r>
      <w:r>
        <w:rPr>
          <w:rFonts w:ascii="Times New Roman" w:hAnsi="Times New Roman" w:cs="Times New Roman"/>
          <w:sz w:val="20"/>
          <w:szCs w:val="20"/>
          <w:lang w:val="en-GB"/>
        </w:rPr>
        <w:t xml:space="preserve">that the RAN can set a reporting periodicity of buffer level RVQoE measurements different than the corresponding reporting periodicity of QoE measurements. UE AS uses the +CAPPLEVMCNR AT command to inform the UE App layer about the periodicity (the field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w:t>
      </w:r>
    </w:p>
    <w:p w14:paraId="44382673"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essential question is: can </w:t>
      </w:r>
      <w:r>
        <w:rPr>
          <w:rFonts w:ascii="Times New Roman" w:hAnsi="Times New Roman" w:cs="Times New Roman"/>
          <w:i/>
          <w:iCs/>
          <w:sz w:val="20"/>
          <w:szCs w:val="20"/>
          <w:lang w:val="en-GB"/>
        </w:rPr>
        <w:t>n</w:t>
      </w:r>
      <w:r>
        <w:rPr>
          <w:rFonts w:ascii="Times New Roman" w:hAnsi="Times New Roman" w:cs="Times New Roman"/>
          <w:sz w:val="20"/>
          <w:szCs w:val="20"/>
          <w:lang w:val="en-GB"/>
        </w:rPr>
        <w:t xml:space="preserve"> also be used as the recording periodicity for buffer level in RVQoE reports? To streamline the discussion on the relation between the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and the RVQoE reporting periodicity, the Moderator asks the following:</w:t>
      </w:r>
    </w:p>
    <w:p w14:paraId="3927E305" w14:textId="77777777" w:rsidR="00DA7704" w:rsidRDefault="00C431CD">
      <w:pPr>
        <w:rPr>
          <w:rFonts w:ascii="Times New Roman" w:eastAsiaTheme="minorEastAsia" w:hAnsi="Times New Roman" w:cs="Times New Roman"/>
          <w:b/>
          <w:bCs/>
          <w:sz w:val="20"/>
          <w:szCs w:val="22"/>
        </w:rPr>
      </w:pPr>
      <w:r>
        <w:rPr>
          <w:rFonts w:ascii="Times New Roman" w:eastAsiaTheme="minorEastAsia" w:hAnsi="Times New Roman" w:cs="Times New Roman"/>
          <w:b/>
          <w:bCs/>
          <w:sz w:val="20"/>
          <w:szCs w:val="22"/>
        </w:rPr>
        <w:t xml:space="preserve">Q1-2: Do you agree with the following statements, pertaining to the recording periodicity </w:t>
      </w:r>
      <w:r>
        <w:rPr>
          <w:rFonts w:ascii="Times New Roman" w:eastAsiaTheme="minorEastAsia" w:hAnsi="Times New Roman" w:cs="Times New Roman"/>
          <w:b/>
          <w:bCs/>
          <w:i/>
          <w:iCs/>
          <w:sz w:val="20"/>
          <w:szCs w:val="22"/>
        </w:rPr>
        <w:t>n</w:t>
      </w:r>
      <w:r>
        <w:rPr>
          <w:rFonts w:ascii="Times New Roman" w:eastAsiaTheme="minorEastAsia" w:hAnsi="Times New Roman" w:cs="Times New Roman"/>
          <w:b/>
          <w:bCs/>
          <w:sz w:val="20"/>
          <w:szCs w:val="22"/>
        </w:rPr>
        <w:t xml:space="preserve"> for buffer level QoE measurements:</w:t>
      </w:r>
    </w:p>
    <w:p w14:paraId="4A3CF71B"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1: If the reporting periodicity of RVQoE is larger than or equal to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is used as the recording periodicity for buffer level in RVQoE reports.</w:t>
      </w:r>
    </w:p>
    <w:p w14:paraId="1FE09ACE"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2: If the reporting periodicity of RVQoE is smaller than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the recording periodicity for buffer level in RVQoE reports is up to UE implementation.</w:t>
      </w:r>
    </w:p>
    <w:p w14:paraId="069F9C11" w14:textId="77777777" w:rsidR="00DA7704" w:rsidRDefault="00C431CD">
      <w:pPr>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In case you do not agree with any of the two statements, please provide your own understanding. In your answers, please do not use the term “periodicity” alone, use an adjective as well, e.g., “recording periodicity”, “reporting periodicity” etc.</w:t>
      </w:r>
    </w:p>
    <w:p w14:paraId="22A39F07" w14:textId="77777777" w:rsidR="00DA7704" w:rsidRDefault="00DA7704">
      <w:pPr>
        <w:rPr>
          <w:rFonts w:ascii="Times New Roman" w:eastAsiaTheme="minorEastAsia" w:hAnsi="Times New Roman" w:cs="Times New Roman"/>
          <w:color w:val="FF0000"/>
          <w:sz w:val="20"/>
          <w:szCs w:val="20"/>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5329E505" w14:textId="77777777">
        <w:trPr>
          <w:trHeight w:val="325"/>
        </w:trPr>
        <w:tc>
          <w:tcPr>
            <w:tcW w:w="1134" w:type="dxa"/>
          </w:tcPr>
          <w:p w14:paraId="7A18A17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1DF633F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09350C6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48BDB699" w14:textId="77777777">
        <w:trPr>
          <w:trHeight w:val="357"/>
        </w:trPr>
        <w:tc>
          <w:tcPr>
            <w:tcW w:w="1134" w:type="dxa"/>
          </w:tcPr>
          <w:p w14:paraId="0943D89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0AD908A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Agree to both</w:t>
            </w:r>
          </w:p>
        </w:tc>
        <w:tc>
          <w:tcPr>
            <w:tcW w:w="6662" w:type="dxa"/>
          </w:tcPr>
          <w:p w14:paraId="432DA27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cannot always reuse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for the recording periodicity of RVQoE measurements. The UE implementation needs to ensure that, for a given RVQoE reporting periodicity, each report contains at least one buffer level value, and that we don’t replicate the same buffer level sample into multiple consecutive RVQoE reports.</w:t>
            </w:r>
          </w:p>
        </w:tc>
      </w:tr>
      <w:tr w:rsidR="00DA7704" w14:paraId="11094F0A" w14:textId="77777777">
        <w:trPr>
          <w:trHeight w:val="342"/>
        </w:trPr>
        <w:tc>
          <w:tcPr>
            <w:tcW w:w="1134" w:type="dxa"/>
          </w:tcPr>
          <w:p w14:paraId="3112D47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85" w:type="dxa"/>
          </w:tcPr>
          <w:p w14:paraId="3A6E8F2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662" w:type="dxa"/>
          </w:tcPr>
          <w:p w14:paraId="3E75EF6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should record QoE metrics as per n value irrespective of RVQoE reporting periodicity </w:t>
            </w:r>
          </w:p>
          <w:p w14:paraId="4D6D48E2"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Statement 1: Yes</w:t>
            </w:r>
          </w:p>
          <w:p w14:paraId="7491EE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Condition in Statement 1 (e.g., RVQoE reporting periodicity = 1024 ms and n = 1 i.e., 1000 ms) is straightforward. UE should measure every 1000 ms.</w:t>
            </w:r>
          </w:p>
          <w:p w14:paraId="1D76992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Statement 2: No</w:t>
            </w:r>
          </w:p>
          <w:p w14:paraId="69DD8CE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Consider a case where n = 1 (1000 ms) and RVQoE reporting periodicity = 120 ms. UE simply can’t send RVQoE report every 120 ms. Minimum it can send is every 1000 ms. So, this use case doesn’t seem beneficial at all and the UE </w:t>
            </w:r>
            <w:proofErr w:type="spellStart"/>
            <w:r>
              <w:rPr>
                <w:rFonts w:ascii="Times New Roman" w:eastAsiaTheme="minorEastAsia" w:hAnsi="Times New Roman" w:cs="Times New Roman"/>
                <w:sz w:val="20"/>
                <w:szCs w:val="20"/>
                <w:lang w:val="en-GB" w:eastAsia="zh-CN"/>
              </w:rPr>
              <w:t>behavior</w:t>
            </w:r>
            <w:proofErr w:type="spellEnd"/>
            <w:r>
              <w:rPr>
                <w:rFonts w:ascii="Times New Roman" w:eastAsiaTheme="minorEastAsia" w:hAnsi="Times New Roman" w:cs="Times New Roman"/>
                <w:sz w:val="20"/>
                <w:szCs w:val="20"/>
                <w:lang w:val="en-GB" w:eastAsia="zh-CN"/>
              </w:rPr>
              <w:t xml:space="preserve"> in this case is unclear. It does seem useful for gNB to know the n value to configure RVQoE reporting periodicity appropriately. We think OAM communicating the n value to gNB would be useful.</w:t>
            </w:r>
          </w:p>
          <w:p w14:paraId="7372AAA4"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3767F9" w14:textId="77777777">
        <w:trPr>
          <w:trHeight w:val="325"/>
        </w:trPr>
        <w:tc>
          <w:tcPr>
            <w:tcW w:w="1134" w:type="dxa"/>
          </w:tcPr>
          <w:p w14:paraId="2D29F70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3DF7349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to both</w:t>
            </w:r>
          </w:p>
        </w:tc>
        <w:tc>
          <w:tcPr>
            <w:tcW w:w="6662" w:type="dxa"/>
          </w:tcPr>
          <w:p w14:paraId="4FAA602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may APP layer may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previous sent report or not send anything.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y UE </w:t>
            </w:r>
            <w:proofErr w:type="spellStart"/>
            <w:r>
              <w:rPr>
                <w:rFonts w:ascii="Times New Roman" w:eastAsiaTheme="minorEastAsia" w:hAnsi="Times New Roman" w:cs="Times New Roman" w:hint="eastAsia"/>
                <w:sz w:val="20"/>
                <w:szCs w:val="20"/>
                <w:lang w:val="en-GB" w:eastAsia="zh-CN"/>
              </w:rPr>
              <w:t>implentmention</w:t>
            </w:r>
            <w:proofErr w:type="spellEnd"/>
            <w:r>
              <w:rPr>
                <w:rFonts w:ascii="Times New Roman" w:eastAsiaTheme="minorEastAsia" w:hAnsi="Times New Roman" w:cs="Times New Roman" w:hint="eastAsia"/>
                <w:sz w:val="20"/>
                <w:szCs w:val="20"/>
                <w:lang w:val="en-GB" w:eastAsia="zh-CN"/>
              </w:rPr>
              <w:t xml:space="preserve"> </w:t>
            </w:r>
          </w:p>
        </w:tc>
      </w:tr>
      <w:tr w:rsidR="00DA7704" w14:paraId="4A395A53" w14:textId="77777777">
        <w:trPr>
          <w:trHeight w:val="325"/>
        </w:trPr>
        <w:tc>
          <w:tcPr>
            <w:tcW w:w="1134" w:type="dxa"/>
          </w:tcPr>
          <w:p w14:paraId="269C90F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985" w:type="dxa"/>
          </w:tcPr>
          <w:p w14:paraId="5F719DC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662" w:type="dxa"/>
          </w:tcPr>
          <w:p w14:paraId="24BEE3E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example given by QC for statement 2, where we report more frequently than recording, we just make sure we report the latest recording value in every report.</w:t>
            </w:r>
          </w:p>
        </w:tc>
      </w:tr>
      <w:tr w:rsidR="00DA7704" w14:paraId="274DB32D" w14:textId="77777777">
        <w:trPr>
          <w:trHeight w:val="342"/>
        </w:trPr>
        <w:tc>
          <w:tcPr>
            <w:tcW w:w="1134" w:type="dxa"/>
          </w:tcPr>
          <w:p w14:paraId="154AFA5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7872D3C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Pr>
          <w:p w14:paraId="6833D3B5" w14:textId="77777777" w:rsidR="00DA7704" w:rsidRDefault="00DA7704">
            <w:pPr>
              <w:spacing w:before="120" w:after="0"/>
              <w:rPr>
                <w:rFonts w:ascii="Times New Roman" w:eastAsiaTheme="minorEastAsia" w:hAnsi="Times New Roman" w:cs="Times New Roman"/>
                <w:sz w:val="20"/>
                <w:szCs w:val="20"/>
                <w:lang w:val="en-GB" w:eastAsia="zh-CN"/>
              </w:rPr>
            </w:pPr>
          </w:p>
        </w:tc>
      </w:tr>
      <w:tr w:rsidR="00F42433" w14:paraId="7D25162B" w14:textId="77777777">
        <w:trPr>
          <w:trHeight w:val="342"/>
        </w:trPr>
        <w:tc>
          <w:tcPr>
            <w:tcW w:w="1134" w:type="dxa"/>
          </w:tcPr>
          <w:p w14:paraId="6ADF98D1" w14:textId="72E5D16D"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985" w:type="dxa"/>
          </w:tcPr>
          <w:p w14:paraId="1EF6711B" w14:textId="75A03FBA"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6662" w:type="dxa"/>
          </w:tcPr>
          <w:p w14:paraId="1FB9A999"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the moderator mentioned, </w:t>
            </w:r>
            <w:r>
              <w:rPr>
                <w:rFonts w:ascii="Times New Roman" w:hAnsi="Times New Roman" w:cs="Times New Roman"/>
                <w:sz w:val="20"/>
                <w:szCs w:val="20"/>
                <w:lang w:val="en-GB"/>
              </w:rPr>
              <w:t>UE AS uses the +</w:t>
            </w:r>
            <w:r w:rsidRPr="00A0170B">
              <w:rPr>
                <w:rFonts w:ascii="Times New Roman" w:hAnsi="Times New Roman" w:cs="Times New Roman"/>
                <w:sz w:val="20"/>
                <w:szCs w:val="20"/>
                <w:lang w:val="en-GB"/>
              </w:rPr>
              <w:t>CAPPLEVMCNR AT command</w:t>
            </w:r>
            <w:r>
              <w:rPr>
                <w:rFonts w:ascii="Times New Roman" w:hAnsi="Times New Roman" w:cs="Times New Roman"/>
                <w:sz w:val="20"/>
                <w:szCs w:val="20"/>
                <w:lang w:val="en-GB"/>
              </w:rPr>
              <w:t xml:space="preserve"> to inform the UE App layer about the periodicity (the field </w:t>
            </w:r>
            <w:r w:rsidRPr="00A0170B">
              <w:rPr>
                <w:rFonts w:ascii="Courier New" w:hAnsi="Courier New" w:cs="Courier New"/>
                <w:sz w:val="20"/>
                <w:szCs w:val="20"/>
                <w:lang w:val="en-GB"/>
              </w:rPr>
              <w:t>&lt;</w:t>
            </w:r>
            <w:proofErr w:type="spellStart"/>
            <w:r w:rsidRPr="00A0170B">
              <w:rPr>
                <w:rFonts w:ascii="Courier New" w:hAnsi="Courier New" w:cs="Courier New"/>
                <w:sz w:val="20"/>
                <w:szCs w:val="20"/>
                <w:lang w:val="en-GB"/>
              </w:rPr>
              <w:t>ran_visible_periodicity</w:t>
            </w:r>
            <w:proofErr w:type="spellEnd"/>
            <w:r w:rsidRPr="00A0170B">
              <w:rPr>
                <w:rFonts w:ascii="Courier New" w:hAnsi="Courier New" w:cs="Courier New"/>
                <w:sz w:val="20"/>
                <w:szCs w:val="20"/>
                <w:lang w:val="en-GB"/>
              </w:rPr>
              <w:t>&gt;</w:t>
            </w:r>
            <w:r>
              <w:rPr>
                <w:rFonts w:ascii="Times New Roman" w:hAnsi="Times New Roman" w:cs="Times New Roman"/>
                <w:sz w:val="20"/>
                <w:szCs w:val="20"/>
                <w:lang w:val="en-GB"/>
              </w:rPr>
              <w:t xml:space="preserve">).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xml:space="preserve">esides the periodicity, the number of the buffer level entries are informed to UE app layer in the same AT command also. It makes the situation is more complex. </w:t>
            </w:r>
          </w:p>
          <w:p w14:paraId="30AC2322"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Without the n value used by UE app layer to record the buffer level value, how does the gNB configure the periodicity and the number of buffer level entries with appropriate value?</w:t>
            </w:r>
          </w:p>
          <w:p w14:paraId="56CC8CF1"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f the </w:t>
            </w:r>
            <w:r w:rsidRPr="00916BA9">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sz w:val="20"/>
                <w:szCs w:val="20"/>
                <w:lang w:val="en-GB" w:eastAsia="zh-CN"/>
              </w:rPr>
              <w:t xml:space="preserve"> (for </w:t>
            </w:r>
            <w:proofErr w:type="spellStart"/>
            <w:r>
              <w:rPr>
                <w:rFonts w:ascii="Times New Roman" w:eastAsiaTheme="minorEastAsia" w:hAnsi="Times New Roman" w:cs="Times New Roman"/>
                <w:sz w:val="20"/>
                <w:szCs w:val="20"/>
                <w:lang w:val="en-GB" w:eastAsia="zh-CN"/>
              </w:rPr>
              <w:t>eg.</w:t>
            </w:r>
            <w:proofErr w:type="spellEnd"/>
            <w:r>
              <w:rPr>
                <w:rFonts w:ascii="Times New Roman" w:eastAsiaTheme="minorEastAsia" w:hAnsi="Times New Roman" w:cs="Times New Roman"/>
                <w:sz w:val="20"/>
                <w:szCs w:val="20"/>
                <w:lang w:val="en-GB" w:eastAsia="zh-CN"/>
              </w:rPr>
              <w:t xml:space="preserve"> n = 1000ms and RVQoE reporting periodicity = 120ms, number of buffer level entries is 4) </w:t>
            </w:r>
          </w:p>
          <w:p w14:paraId="0047DF3C"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E/// mentioned below could NOT be done by UE.</w:t>
            </w:r>
          </w:p>
          <w:p w14:paraId="604BA091" w14:textId="77777777" w:rsidR="00F42433" w:rsidRDefault="00F42433" w:rsidP="00F42433">
            <w:pPr>
              <w:spacing w:before="120" w:after="0"/>
              <w:ind w:leftChars="100" w:left="220"/>
              <w:rPr>
                <w:rFonts w:ascii="Times New Roman" w:hAnsi="Times New Roman" w:cs="Times New Roman"/>
                <w:i/>
                <w:iCs/>
                <w:sz w:val="20"/>
                <w:szCs w:val="20"/>
                <w:lang w:val="en-GB"/>
              </w:rPr>
            </w:pPr>
            <w:r w:rsidRPr="00916BA9">
              <w:rPr>
                <w:rFonts w:ascii="Times New Roman" w:hAnsi="Times New Roman" w:cs="Times New Roman"/>
                <w:i/>
                <w:iCs/>
                <w:sz w:val="20"/>
                <w:szCs w:val="20"/>
                <w:lang w:val="en-GB"/>
              </w:rPr>
              <w:t>The UE implementation needs to ensure that, for a given RVQoE reporting periodicity, each report contains at least one buffer level value, and that we don’t replicate the same buffer level sample into multiple consecutive RVQoE reports.</w:t>
            </w:r>
          </w:p>
          <w:p w14:paraId="505BB51D"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hint="eastAsia"/>
                <w:sz w:val="20"/>
                <w:szCs w:val="20"/>
                <w:lang w:val="en-GB" w:eastAsia="zh-CN"/>
              </w:rPr>
              <w:t>A</w:t>
            </w:r>
            <w:r w:rsidRPr="000659E5">
              <w:rPr>
                <w:rFonts w:ascii="Times New Roman" w:eastAsiaTheme="minorEastAsia" w:hAnsi="Times New Roman" w:cs="Times New Roman"/>
                <w:sz w:val="20"/>
                <w:szCs w:val="20"/>
                <w:lang w:val="en-GB" w:eastAsia="zh-CN"/>
              </w:rPr>
              <w:t xml:space="preserve">nd </w:t>
            </w:r>
            <w:r>
              <w:rPr>
                <w:rFonts w:ascii="Times New Roman" w:eastAsiaTheme="minorEastAsia" w:hAnsi="Times New Roman" w:cs="Times New Roman"/>
                <w:sz w:val="20"/>
                <w:szCs w:val="20"/>
                <w:lang w:val="en-GB" w:eastAsia="zh-CN"/>
              </w:rPr>
              <w:t xml:space="preserve">if we do as Huawei mentioned, </w:t>
            </w:r>
          </w:p>
          <w:p w14:paraId="69400AF9" w14:textId="77777777" w:rsidR="00F42433" w:rsidRDefault="00F42433" w:rsidP="00F42433">
            <w:pPr>
              <w:spacing w:before="120" w:after="0"/>
              <w:ind w:leftChars="100" w:left="220"/>
              <w:rPr>
                <w:rFonts w:ascii="Times New Roman" w:eastAsiaTheme="minorEastAsia" w:hAnsi="Times New Roman" w:cs="Times New Roman"/>
                <w:i/>
                <w:iCs/>
                <w:sz w:val="20"/>
                <w:szCs w:val="20"/>
                <w:lang w:val="en-GB" w:eastAsia="zh-CN"/>
              </w:rPr>
            </w:pPr>
            <w:r w:rsidRPr="000659E5">
              <w:rPr>
                <w:rFonts w:ascii="Times New Roman" w:eastAsiaTheme="minorEastAsia" w:hAnsi="Times New Roman" w:cs="Times New Roman"/>
                <w:i/>
                <w:iCs/>
                <w:sz w:val="20"/>
                <w:szCs w:val="20"/>
                <w:lang w:val="en-GB" w:eastAsia="zh-CN"/>
              </w:rPr>
              <w:t>where we report more frequently than recording, we just make sure we report the latest recording value in every report.</w:t>
            </w:r>
          </w:p>
          <w:p w14:paraId="58F1F2CF"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sz w:val="20"/>
                <w:szCs w:val="20"/>
                <w:lang w:val="en-GB" w:eastAsia="zh-CN"/>
              </w:rPr>
              <w:t xml:space="preserve">The replicate value </w:t>
            </w:r>
            <w:r>
              <w:rPr>
                <w:rFonts w:ascii="Times New Roman" w:eastAsiaTheme="minorEastAsia" w:hAnsi="Times New Roman" w:cs="Times New Roman"/>
                <w:sz w:val="20"/>
                <w:szCs w:val="20"/>
                <w:lang w:val="en-GB" w:eastAsia="zh-CN"/>
              </w:rPr>
              <w:t>will be reported to NW, and it’s useless as the reference for QoE-based scheduling. Maybe it results in the gNB inappropriate resource scheduling. And the radio resource for reporting the RVQoE is wasted also.</w:t>
            </w:r>
          </w:p>
          <w:p w14:paraId="6F5DD0ED" w14:textId="54FCCECF"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we proposed in [4837] and mentioned by QC, it does seem useful for gNB to know the n value to configure RVQoE reporting periodicity and number of buffer level entries appropriately. We think OAM communicating the n value to gNB would be useful.</w:t>
            </w:r>
          </w:p>
        </w:tc>
      </w:tr>
      <w:tr w:rsidR="00DA7704" w14:paraId="32E04EAE"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2D07C6A" w14:textId="0E54E4F1"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6341ADAC" w14:textId="43C7EF5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Borders>
              <w:top w:val="single" w:sz="4" w:space="0" w:color="auto"/>
              <w:left w:val="single" w:sz="4" w:space="0" w:color="auto"/>
              <w:bottom w:val="single" w:sz="4" w:space="0" w:color="auto"/>
              <w:right w:val="single" w:sz="4" w:space="0" w:color="auto"/>
            </w:tcBorders>
          </w:tcPr>
          <w:p w14:paraId="69B07E0B" w14:textId="001C6377"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is OK so far to keep this dependency on OAM configuration</w:t>
            </w:r>
          </w:p>
        </w:tc>
      </w:tr>
      <w:tr w:rsidR="00DA7704" w14:paraId="2969B21A" w14:textId="77777777">
        <w:trPr>
          <w:trHeight w:val="325"/>
        </w:trPr>
        <w:tc>
          <w:tcPr>
            <w:tcW w:w="1134" w:type="dxa"/>
          </w:tcPr>
          <w:p w14:paraId="623725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78992EFE"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27ACC0B5" w14:textId="77777777" w:rsidR="00DA7704" w:rsidRDefault="00DA7704">
            <w:pPr>
              <w:spacing w:before="120" w:after="0"/>
              <w:rPr>
                <w:rFonts w:ascii="Times New Roman" w:eastAsia="MS ??" w:hAnsi="Times New Roman" w:cs="Times New Roman"/>
                <w:sz w:val="20"/>
                <w:szCs w:val="20"/>
                <w:lang w:val="en-GB" w:eastAsia="zh-CN"/>
              </w:rPr>
            </w:pPr>
          </w:p>
        </w:tc>
      </w:tr>
    </w:tbl>
    <w:p w14:paraId="56E25AD2"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1B2578A" w14:textId="0789405A" w:rsidR="009647A6" w:rsidRPr="009647A6" w:rsidRDefault="009647A6">
      <w:pPr>
        <w:spacing w:before="120" w:after="0"/>
        <w:rPr>
          <w:rFonts w:ascii="Times New Roman" w:hAnsi="Times New Roman" w:cs="Times New Roman"/>
          <w:color w:val="2E74B5" w:themeColor="accent5" w:themeShade="BF"/>
          <w:sz w:val="20"/>
          <w:szCs w:val="22"/>
          <w:lang w:val="en-GB"/>
        </w:rPr>
      </w:pPr>
      <w:r w:rsidRPr="009647A6">
        <w:rPr>
          <w:rFonts w:ascii="Times New Roman" w:hAnsi="Times New Roman" w:cs="Times New Roman"/>
          <w:color w:val="2E74B5" w:themeColor="accent5" w:themeShade="BF"/>
          <w:sz w:val="20"/>
          <w:szCs w:val="22"/>
          <w:lang w:val="en-GB"/>
        </w:rPr>
        <w:t>The first statement seems non-controversial:</w:t>
      </w:r>
    </w:p>
    <w:p w14:paraId="44C32027" w14:textId="569E0AAE" w:rsidR="00DA7704" w:rsidRDefault="00384B0F">
      <w:pPr>
        <w:spacing w:before="120" w:after="0"/>
        <w:rPr>
          <w:rFonts w:ascii="Times New Roman" w:hAnsi="Times New Roman" w:cs="Times New Roman"/>
          <w:b/>
          <w:bCs/>
          <w:color w:val="00B050"/>
          <w:sz w:val="20"/>
          <w:szCs w:val="22"/>
          <w:lang w:val="en-GB"/>
        </w:rPr>
      </w:pPr>
      <w:r w:rsidRPr="00384B0F">
        <w:rPr>
          <w:rFonts w:ascii="Times New Roman" w:hAnsi="Times New Roman" w:cs="Times New Roman"/>
          <w:b/>
          <w:bCs/>
          <w:color w:val="00B050"/>
          <w:sz w:val="20"/>
          <w:szCs w:val="22"/>
          <w:lang w:val="en-GB"/>
        </w:rPr>
        <w:t xml:space="preserve">Proposal 5: If the reporting periodicity of RVQoE is larger than or equal to </w:t>
      </w:r>
      <w:r w:rsidR="000442DD">
        <w:rPr>
          <w:rFonts w:ascii="Times New Roman" w:hAnsi="Times New Roman" w:cs="Times New Roman"/>
          <w:b/>
          <w:bCs/>
          <w:color w:val="00B050"/>
          <w:sz w:val="20"/>
          <w:szCs w:val="22"/>
          <w:lang w:val="en-GB"/>
        </w:rPr>
        <w:t>the recording periodicity for QoE buffer level measurements</w:t>
      </w:r>
      <w:r w:rsidRPr="00384B0F">
        <w:rPr>
          <w:rFonts w:ascii="Times New Roman" w:hAnsi="Times New Roman" w:cs="Times New Roman"/>
          <w:b/>
          <w:bCs/>
          <w:color w:val="00B050"/>
          <w:sz w:val="20"/>
          <w:szCs w:val="22"/>
          <w:lang w:val="en-GB"/>
        </w:rPr>
        <w:t xml:space="preserve">, </w:t>
      </w:r>
      <w:r w:rsidR="000442DD">
        <w:rPr>
          <w:rFonts w:ascii="Times New Roman" w:hAnsi="Times New Roman" w:cs="Times New Roman"/>
          <w:b/>
          <w:bCs/>
          <w:color w:val="00B050"/>
          <w:sz w:val="20"/>
          <w:szCs w:val="22"/>
          <w:lang w:val="en-GB"/>
        </w:rPr>
        <w:t xml:space="preserve">this </w:t>
      </w:r>
      <w:r w:rsidR="004A1F62">
        <w:rPr>
          <w:rFonts w:ascii="Times New Roman" w:hAnsi="Times New Roman" w:cs="Times New Roman"/>
          <w:b/>
          <w:bCs/>
          <w:color w:val="00B050"/>
          <w:sz w:val="20"/>
          <w:szCs w:val="22"/>
          <w:lang w:val="en-GB"/>
        </w:rPr>
        <w:t xml:space="preserve">latter </w:t>
      </w:r>
      <w:r w:rsidR="000442DD">
        <w:rPr>
          <w:rFonts w:ascii="Times New Roman" w:hAnsi="Times New Roman" w:cs="Times New Roman"/>
          <w:b/>
          <w:bCs/>
          <w:color w:val="00B050"/>
          <w:sz w:val="20"/>
          <w:szCs w:val="22"/>
          <w:lang w:val="en-GB"/>
        </w:rPr>
        <w:t>value</w:t>
      </w:r>
      <w:r w:rsidRPr="00384B0F">
        <w:rPr>
          <w:rFonts w:ascii="Times New Roman" w:hAnsi="Times New Roman" w:cs="Times New Roman"/>
          <w:b/>
          <w:bCs/>
          <w:color w:val="00B050"/>
          <w:sz w:val="20"/>
          <w:szCs w:val="22"/>
          <w:lang w:val="en-GB"/>
        </w:rPr>
        <w:t xml:space="preserve"> is used as the recording periodicity for buffer level in RVQoE reports</w:t>
      </w:r>
      <w:r w:rsidR="00A93024">
        <w:rPr>
          <w:rFonts w:ascii="Times New Roman" w:hAnsi="Times New Roman" w:cs="Times New Roman"/>
          <w:b/>
          <w:bCs/>
          <w:color w:val="00B050"/>
          <w:sz w:val="20"/>
          <w:szCs w:val="22"/>
          <w:lang w:val="en-GB"/>
        </w:rPr>
        <w:t xml:space="preserve"> as well</w:t>
      </w:r>
      <w:r w:rsidRPr="00384B0F">
        <w:rPr>
          <w:rFonts w:ascii="Times New Roman" w:hAnsi="Times New Roman" w:cs="Times New Roman"/>
          <w:b/>
          <w:bCs/>
          <w:color w:val="00B050"/>
          <w:sz w:val="20"/>
          <w:szCs w:val="22"/>
          <w:lang w:val="en-GB"/>
        </w:rPr>
        <w:t>.</w:t>
      </w:r>
    </w:p>
    <w:p w14:paraId="302A2E66" w14:textId="33C37170" w:rsidR="009647A6" w:rsidRPr="00A93024" w:rsidRDefault="00A93024">
      <w:pPr>
        <w:spacing w:before="120" w:after="0"/>
        <w:rPr>
          <w:rFonts w:ascii="Times New Roman" w:hAnsi="Times New Roman" w:cs="Times New Roman"/>
          <w:color w:val="2E74B5" w:themeColor="accent5" w:themeShade="BF"/>
          <w:sz w:val="20"/>
          <w:szCs w:val="22"/>
          <w:lang w:val="en-GB"/>
        </w:rPr>
      </w:pPr>
      <w:r w:rsidRPr="00A93024">
        <w:rPr>
          <w:rFonts w:ascii="Times New Roman" w:hAnsi="Times New Roman" w:cs="Times New Roman"/>
          <w:color w:val="2E74B5" w:themeColor="accent5" w:themeShade="BF"/>
          <w:sz w:val="20"/>
          <w:szCs w:val="22"/>
          <w:lang w:val="en-GB"/>
        </w:rPr>
        <w:t xml:space="preserve">The second statement is controversial, so </w:t>
      </w:r>
      <w:r w:rsidR="001D785D">
        <w:rPr>
          <w:rFonts w:ascii="Times New Roman" w:hAnsi="Times New Roman" w:cs="Times New Roman"/>
          <w:color w:val="2E74B5" w:themeColor="accent5" w:themeShade="BF"/>
          <w:sz w:val="20"/>
          <w:szCs w:val="22"/>
          <w:lang w:val="en-GB"/>
        </w:rPr>
        <w:t>we make the following</w:t>
      </w:r>
      <w:r w:rsidRPr="00A93024">
        <w:rPr>
          <w:rFonts w:ascii="Times New Roman" w:hAnsi="Times New Roman" w:cs="Times New Roman"/>
          <w:color w:val="2E74B5" w:themeColor="accent5" w:themeShade="BF"/>
          <w:sz w:val="20"/>
          <w:szCs w:val="22"/>
          <w:lang w:val="en-GB"/>
        </w:rPr>
        <w:t xml:space="preserve"> TBC</w:t>
      </w:r>
      <w:r w:rsidR="001D785D">
        <w:rPr>
          <w:rFonts w:ascii="Times New Roman" w:hAnsi="Times New Roman" w:cs="Times New Roman"/>
          <w:color w:val="2E74B5" w:themeColor="accent5" w:themeShade="BF"/>
          <w:sz w:val="20"/>
          <w:szCs w:val="22"/>
          <w:lang w:val="en-GB"/>
        </w:rPr>
        <w:t xml:space="preserve"> that comprises both Statement 2 and the Samsung proposal</w:t>
      </w:r>
      <w:r w:rsidRPr="00A93024">
        <w:rPr>
          <w:rFonts w:ascii="Times New Roman" w:hAnsi="Times New Roman" w:cs="Times New Roman"/>
          <w:color w:val="2E74B5" w:themeColor="accent5" w:themeShade="BF"/>
          <w:sz w:val="20"/>
          <w:szCs w:val="22"/>
          <w:lang w:val="en-GB"/>
        </w:rPr>
        <w:t>:</w:t>
      </w:r>
    </w:p>
    <w:bookmarkEnd w:id="3"/>
    <w:p w14:paraId="44EA93A7" w14:textId="77777777" w:rsidR="00E07666" w:rsidRDefault="00E07666" w:rsidP="00E07666">
      <w:pPr>
        <w:spacing w:before="120"/>
        <w:rPr>
          <w:rFonts w:ascii="Times New Roman" w:eastAsiaTheme="minorHAnsi" w:hAnsi="Times New Roman" w:cs="Times New Roman"/>
          <w:b/>
          <w:bCs/>
          <w:color w:val="2E74B5" w:themeColor="accent5" w:themeShade="BF"/>
          <w:sz w:val="18"/>
          <w:szCs w:val="20"/>
          <w:lang w:eastAsia="en-US"/>
        </w:rPr>
      </w:pPr>
      <w:r>
        <w:rPr>
          <w:rFonts w:ascii="Times New Roman" w:eastAsiaTheme="minorEastAsia" w:hAnsi="Times New Roman" w:cs="Times New Roman"/>
          <w:b/>
          <w:bCs/>
          <w:color w:val="2E74B5" w:themeColor="accent5" w:themeShade="BF"/>
          <w:sz w:val="20"/>
          <w:szCs w:val="20"/>
          <w:lang w:val="en-SE"/>
        </w:rPr>
        <w:t xml:space="preserve">Discuss </w:t>
      </w:r>
      <w:r>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0CB5474C" w14:textId="77777777" w:rsidR="00DA7704" w:rsidRDefault="00C431CD">
      <w:pPr>
        <w:pStyle w:val="Heading2"/>
        <w:rPr>
          <w:rFonts w:ascii="Arial" w:hAnsi="Arial" w:cs="Arial"/>
        </w:rPr>
      </w:pPr>
      <w:r>
        <w:rPr>
          <w:rFonts w:ascii="Arial" w:hAnsi="Arial" w:cs="Arial"/>
        </w:rPr>
        <w:t>Further discussion on Q2 from RAN2 LS</w:t>
      </w:r>
    </w:p>
    <w:p w14:paraId="217CDAE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A WA is attempted based on the majority view (5/8).</w:t>
      </w:r>
    </w:p>
    <w:p w14:paraId="4DE64414"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Q2: Is the following WA acceptable for you:</w:t>
      </w:r>
    </w:p>
    <w:p w14:paraId="15CE98A6"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WA: The PDU Session ID should be provided in at least one RAN visible QoE report (e.g., the first one) and at least once for every time the PDU Session ID changes during QoE measurements, so its presence in the RVQoE report is optional.</w:t>
      </w:r>
    </w:p>
    <w:p w14:paraId="31C2C291"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0E12AA99" w14:textId="77777777">
        <w:trPr>
          <w:trHeight w:val="325"/>
        </w:trPr>
        <w:tc>
          <w:tcPr>
            <w:tcW w:w="1134" w:type="dxa"/>
          </w:tcPr>
          <w:p w14:paraId="17AEF93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2E9C545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3E5CED9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716903D0" w14:textId="77777777">
        <w:trPr>
          <w:trHeight w:val="357"/>
        </w:trPr>
        <w:tc>
          <w:tcPr>
            <w:tcW w:w="1134" w:type="dxa"/>
          </w:tcPr>
          <w:p w14:paraId="7D2757A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695B1BC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tc>
        <w:tc>
          <w:tcPr>
            <w:tcW w:w="6662" w:type="dxa"/>
          </w:tcPr>
          <w:p w14:paraId="6745876B"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was our preference in the first round.</w:t>
            </w:r>
          </w:p>
        </w:tc>
      </w:tr>
      <w:tr w:rsidR="00DA7704" w14:paraId="634E63F3" w14:textId="77777777">
        <w:trPr>
          <w:trHeight w:val="342"/>
        </w:trPr>
        <w:tc>
          <w:tcPr>
            <w:tcW w:w="1134" w:type="dxa"/>
          </w:tcPr>
          <w:p w14:paraId="64C42AA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85" w:type="dxa"/>
          </w:tcPr>
          <w:p w14:paraId="54A494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 only if conditions are not mandated</w:t>
            </w:r>
          </w:p>
        </w:tc>
        <w:tc>
          <w:tcPr>
            <w:tcW w:w="6662" w:type="dxa"/>
          </w:tcPr>
          <w:p w14:paraId="48E55B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optionally including PDU session ID in RVQoE report is OK. But when UE should include it should be </w:t>
            </w:r>
            <w:proofErr w:type="spellStart"/>
            <w:r>
              <w:rPr>
                <w:rFonts w:ascii="Times New Roman" w:eastAsiaTheme="minorEastAsia" w:hAnsi="Times New Roman" w:cs="Times New Roman"/>
                <w:sz w:val="20"/>
                <w:szCs w:val="20"/>
                <w:lang w:val="en-GB" w:eastAsia="zh-CN"/>
              </w:rPr>
              <w:t>upto</w:t>
            </w:r>
            <w:proofErr w:type="spellEnd"/>
            <w:r>
              <w:rPr>
                <w:rFonts w:ascii="Times New Roman" w:eastAsiaTheme="minorEastAsia" w:hAnsi="Times New Roman" w:cs="Times New Roman"/>
                <w:sz w:val="20"/>
                <w:szCs w:val="20"/>
                <w:lang w:val="en-GB" w:eastAsia="zh-CN"/>
              </w:rPr>
              <w:t xml:space="preserve"> be implementation and the conditions should not be mandated (e.g., during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one and PDU session ID change).</w:t>
            </w:r>
          </w:p>
          <w:p w14:paraId="220132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 mentioned in the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round, mandating such conditions adds more complexity to the UE and also to gNB when to expect it. We propose the following:</w:t>
            </w:r>
          </w:p>
          <w:p w14:paraId="22E9181A"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UE can optionally include the PDU session ID in RVQoE report. When UE includes it is up to UE implementation.</w:t>
            </w:r>
          </w:p>
        </w:tc>
      </w:tr>
      <w:tr w:rsidR="00DA7704" w14:paraId="7CE90317" w14:textId="77777777">
        <w:trPr>
          <w:trHeight w:val="325"/>
        </w:trPr>
        <w:tc>
          <w:tcPr>
            <w:tcW w:w="1134" w:type="dxa"/>
          </w:tcPr>
          <w:p w14:paraId="515D5E8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0601626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E28C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with QC</w:t>
            </w:r>
          </w:p>
        </w:tc>
      </w:tr>
      <w:tr w:rsidR="00DA7704" w14:paraId="4A5D8396" w14:textId="77777777">
        <w:trPr>
          <w:trHeight w:val="325"/>
        </w:trPr>
        <w:tc>
          <w:tcPr>
            <w:tcW w:w="1134" w:type="dxa"/>
          </w:tcPr>
          <w:p w14:paraId="122891CE"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985" w:type="dxa"/>
          </w:tcPr>
          <w:p w14:paraId="396E36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till prefer mandatory</w:t>
            </w:r>
          </w:p>
        </w:tc>
        <w:tc>
          <w:tcPr>
            <w:tcW w:w="6662" w:type="dxa"/>
          </w:tcPr>
          <w:p w14:paraId="542C80F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key point here is we need to make sure gNB has the correct knowledge of mapping relationship between PDU session ID and its associated RAN visible QoE report. We either clearly indicate the condition to include the PDU session ID like the WA did, or we make it mandatory. However, the issue of the WA is if we consider the scenario of handover, APP layer will not realize a handover scenario, and in this case it is hard to make sure PDU session ID is included in the first RVQoE report. Therefore, we kind of think compared to make it a mandatory IE, the WA brings more complexity and may not work well all the time. So, we still prefer make it mandatory.</w:t>
            </w:r>
          </w:p>
        </w:tc>
      </w:tr>
      <w:tr w:rsidR="00DA7704" w14:paraId="71DF72DD" w14:textId="77777777">
        <w:trPr>
          <w:trHeight w:val="342"/>
        </w:trPr>
        <w:tc>
          <w:tcPr>
            <w:tcW w:w="1134" w:type="dxa"/>
          </w:tcPr>
          <w:p w14:paraId="008E003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62ABE978"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8287B1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Qualcomm that the conditions might increase complexity.</w:t>
            </w:r>
          </w:p>
          <w:p w14:paraId="4407B04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rewording by Qualcomm is fine.</w:t>
            </w:r>
          </w:p>
          <w:p w14:paraId="7603264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t get the point of Huawei about why it is hard to get the PDU session ID included in the first RVQoE report in handover scenarios. After all, the continuity of RVQoE reporting in handover cases is not supported, if we remembered it correctly.</w:t>
            </w:r>
          </w:p>
        </w:tc>
      </w:tr>
      <w:tr w:rsidR="00B251AD" w:rsidRPr="00784C98" w14:paraId="595D6FBF" w14:textId="77777777">
        <w:trPr>
          <w:trHeight w:val="342"/>
        </w:trPr>
        <w:tc>
          <w:tcPr>
            <w:tcW w:w="1134" w:type="dxa"/>
          </w:tcPr>
          <w:p w14:paraId="24466DD1" w14:textId="670A50B2"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85" w:type="dxa"/>
          </w:tcPr>
          <w:p w14:paraId="3CEFA333" w14:textId="11C6B06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view.</w:t>
            </w:r>
          </w:p>
        </w:tc>
        <w:tc>
          <w:tcPr>
            <w:tcW w:w="6662" w:type="dxa"/>
          </w:tcPr>
          <w:p w14:paraId="0E6B462E"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andover scenario and issue mentioned by Huawei is valid, I think. </w:t>
            </w:r>
          </w:p>
          <w:p w14:paraId="446FFA7F"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hy it’s set as optional by RAN2 in R17 is not clear for me. </w:t>
            </w:r>
          </w:p>
          <w:p w14:paraId="50549ED0" w14:textId="2A3491C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It seems it’s </w:t>
            </w:r>
            <w:r w:rsidR="00784C98">
              <w:rPr>
                <w:rFonts w:ascii="Times New Roman" w:eastAsiaTheme="minorEastAsia" w:hAnsi="Times New Roman" w:cs="Times New Roman"/>
                <w:sz w:val="20"/>
                <w:szCs w:val="20"/>
                <w:lang w:val="en-GB" w:eastAsia="zh-CN"/>
              </w:rPr>
              <w:t>beneficial</w:t>
            </w:r>
            <w:r>
              <w:rPr>
                <w:rFonts w:ascii="Times New Roman" w:eastAsiaTheme="minorEastAsia" w:hAnsi="Times New Roman" w:cs="Times New Roman"/>
                <w:sz w:val="20"/>
                <w:szCs w:val="20"/>
                <w:lang w:val="en-GB" w:eastAsia="zh-CN"/>
              </w:rPr>
              <w:t xml:space="preserve"> to set it mandatory</w:t>
            </w:r>
            <w:r w:rsidR="00784C98">
              <w:rPr>
                <w:rFonts w:ascii="Times New Roman" w:eastAsiaTheme="minorEastAsia" w:hAnsi="Times New Roman" w:cs="Times New Roman"/>
                <w:sz w:val="20"/>
                <w:szCs w:val="20"/>
                <w:lang w:val="en-GB" w:eastAsia="zh-CN"/>
              </w:rPr>
              <w:t xml:space="preserve"> for gNB QoE-aware scheduling</w:t>
            </w:r>
            <w:r>
              <w:rPr>
                <w:rFonts w:ascii="Times New Roman" w:eastAsiaTheme="minorEastAsia" w:hAnsi="Times New Roman" w:cs="Times New Roman"/>
                <w:sz w:val="20"/>
                <w:szCs w:val="20"/>
                <w:lang w:val="en-GB" w:eastAsia="zh-CN"/>
              </w:rPr>
              <w:t>.</w:t>
            </w:r>
          </w:p>
        </w:tc>
      </w:tr>
      <w:tr w:rsidR="00DA7704" w14:paraId="74A31A0F"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7094D896" w14:textId="78ADEF63"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1945E968" w14:textId="5051BB9A"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Prefer mandatory</w:t>
            </w:r>
          </w:p>
        </w:tc>
        <w:tc>
          <w:tcPr>
            <w:tcW w:w="6662" w:type="dxa"/>
            <w:tcBorders>
              <w:top w:val="single" w:sz="4" w:space="0" w:color="auto"/>
              <w:left w:val="single" w:sz="4" w:space="0" w:color="auto"/>
              <w:bottom w:val="single" w:sz="4" w:space="0" w:color="auto"/>
              <w:right w:val="single" w:sz="4" w:space="0" w:color="auto"/>
            </w:tcBorders>
          </w:tcPr>
          <w:p w14:paraId="2A17F873" w14:textId="4413A07C"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Mandatory allows for simpler handling</w:t>
            </w:r>
          </w:p>
        </w:tc>
      </w:tr>
      <w:tr w:rsidR="00DA7704" w14:paraId="7FF1F545" w14:textId="77777777">
        <w:trPr>
          <w:trHeight w:val="325"/>
        </w:trPr>
        <w:tc>
          <w:tcPr>
            <w:tcW w:w="1134" w:type="dxa"/>
          </w:tcPr>
          <w:p w14:paraId="302B99D3"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13B90E8B"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3D6FAAA3" w14:textId="77777777" w:rsidR="00DA7704" w:rsidRPr="00784C98" w:rsidRDefault="00DA7704">
            <w:pPr>
              <w:spacing w:before="120" w:after="0"/>
              <w:rPr>
                <w:rFonts w:ascii="Times New Roman" w:eastAsia="MS ??" w:hAnsi="Times New Roman" w:cs="Times New Roman"/>
                <w:sz w:val="20"/>
                <w:szCs w:val="20"/>
                <w:lang w:val="en-GB" w:eastAsia="zh-CN"/>
              </w:rPr>
            </w:pPr>
          </w:p>
        </w:tc>
      </w:tr>
    </w:tbl>
    <w:p w14:paraId="005B51E7" w14:textId="00055F10"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91C965E" w14:textId="5E0296A1" w:rsidR="002A09FA" w:rsidRDefault="002A09FA">
      <w:pPr>
        <w:ind w:left="-90"/>
        <w:rPr>
          <w:rFonts w:ascii="Times New Roman" w:hAnsi="Times New Roman" w:cs="Times New Roman"/>
          <w:color w:val="0070C0"/>
          <w:sz w:val="20"/>
          <w:szCs w:val="22"/>
        </w:rPr>
      </w:pPr>
      <w:r w:rsidRPr="002A09FA">
        <w:rPr>
          <w:rFonts w:ascii="Times New Roman" w:hAnsi="Times New Roman" w:cs="Times New Roman"/>
          <w:color w:val="0070C0"/>
          <w:sz w:val="20"/>
          <w:szCs w:val="22"/>
        </w:rPr>
        <w:t>T</w:t>
      </w:r>
      <w:r>
        <w:rPr>
          <w:rFonts w:ascii="Times New Roman" w:hAnsi="Times New Roman" w:cs="Times New Roman"/>
          <w:color w:val="0070C0"/>
          <w:sz w:val="20"/>
          <w:szCs w:val="22"/>
        </w:rPr>
        <w:t>hree companies prefer ‘M’</w:t>
      </w:r>
      <w:r w:rsidR="0049346F">
        <w:rPr>
          <w:rFonts w:ascii="Times New Roman" w:hAnsi="Times New Roman" w:cs="Times New Roman"/>
          <w:color w:val="0070C0"/>
          <w:sz w:val="20"/>
          <w:szCs w:val="22"/>
        </w:rPr>
        <w:t>, fo</w:t>
      </w:r>
      <w:r w:rsidR="00914DC6">
        <w:rPr>
          <w:rFonts w:ascii="Times New Roman" w:hAnsi="Times New Roman" w:cs="Times New Roman"/>
          <w:color w:val="0070C0"/>
          <w:sz w:val="20"/>
          <w:szCs w:val="22"/>
        </w:rPr>
        <w:t>u</w:t>
      </w:r>
      <w:r w:rsidR="0049346F">
        <w:rPr>
          <w:rFonts w:ascii="Times New Roman" w:hAnsi="Times New Roman" w:cs="Times New Roman"/>
          <w:color w:val="0070C0"/>
          <w:sz w:val="20"/>
          <w:szCs w:val="22"/>
        </w:rPr>
        <w:t>r prefer ‘O’.</w:t>
      </w:r>
    </w:p>
    <w:p w14:paraId="4166EE93" w14:textId="2172BFAB" w:rsidR="0049346F" w:rsidRPr="00F44377" w:rsidRDefault="0049346F">
      <w:pPr>
        <w:ind w:left="-90"/>
        <w:rPr>
          <w:rFonts w:ascii="Times New Roman" w:hAnsi="Times New Roman" w:cs="Times New Roman"/>
          <w:b/>
          <w:bCs/>
          <w:color w:val="0070C0"/>
          <w:sz w:val="20"/>
          <w:szCs w:val="22"/>
        </w:rPr>
      </w:pPr>
      <w:r w:rsidRPr="00F44377">
        <w:rPr>
          <w:rFonts w:ascii="Times New Roman" w:hAnsi="Times New Roman" w:cs="Times New Roman"/>
          <w:b/>
          <w:bCs/>
          <w:color w:val="0070C0"/>
          <w:sz w:val="20"/>
          <w:szCs w:val="22"/>
        </w:rPr>
        <w:t xml:space="preserve">Discuss whether </w:t>
      </w:r>
      <w:r w:rsidR="00F44377" w:rsidRPr="00F44377">
        <w:rPr>
          <w:rFonts w:ascii="Times New Roman" w:hAnsi="Times New Roman" w:cs="Times New Roman"/>
          <w:b/>
          <w:bCs/>
          <w:color w:val="0070C0"/>
          <w:sz w:val="20"/>
          <w:szCs w:val="22"/>
        </w:rPr>
        <w:t xml:space="preserve">the </w:t>
      </w:r>
      <w:r w:rsidRPr="00F44377">
        <w:rPr>
          <w:rFonts w:ascii="Times New Roman" w:hAnsi="Times New Roman" w:cs="Times New Roman"/>
          <w:b/>
          <w:bCs/>
          <w:color w:val="0070C0"/>
          <w:sz w:val="20"/>
          <w:szCs w:val="22"/>
        </w:rPr>
        <w:t xml:space="preserve">PDU Session ID </w:t>
      </w:r>
      <w:r w:rsidR="00F44377" w:rsidRPr="00F44377">
        <w:rPr>
          <w:rFonts w:ascii="Times New Roman" w:hAnsi="Times New Roman" w:cs="Times New Roman"/>
          <w:b/>
          <w:bCs/>
          <w:color w:val="0070C0"/>
          <w:sz w:val="20"/>
          <w:szCs w:val="22"/>
        </w:rPr>
        <w:t>should be mandatory or optionally present in RVQoE reports.</w:t>
      </w:r>
    </w:p>
    <w:p w14:paraId="4A61CBE1" w14:textId="77777777" w:rsidR="00DA7704" w:rsidRDefault="00C431CD">
      <w:pPr>
        <w:pStyle w:val="Heading2"/>
        <w:rPr>
          <w:rFonts w:ascii="Arial" w:hAnsi="Arial" w:cs="Arial"/>
        </w:rPr>
      </w:pPr>
      <w:r>
        <w:rPr>
          <w:rFonts w:ascii="Arial" w:hAnsi="Arial" w:cs="Arial"/>
        </w:rPr>
        <w:lastRenderedPageBreak/>
        <w:t>Further discussion on Q3 from RAN2 LS</w:t>
      </w:r>
    </w:p>
    <w:p w14:paraId="24D76317"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explicitly configured</w:t>
      </w:r>
      <w:r>
        <w:rPr>
          <w:rFonts w:ascii="Times New Roman" w:hAnsi="Times New Roman" w:cs="Times New Roman"/>
          <w:sz w:val="20"/>
          <w:szCs w:val="20"/>
          <w:lang w:val="en-GB"/>
        </w:rPr>
        <w:t xml:space="preserve">, the UE AS uses the +CAPPLEVMCNR AT command to inform the UE App layer about the periodicity (the field is called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 Then, the UE App layer will deliver the RVQoE reports to the UE AS accordingly.</w:t>
      </w:r>
    </w:p>
    <w:p w14:paraId="76011DE1"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sz w:val="20"/>
          <w:szCs w:val="20"/>
          <w:lang w:val="en-GB"/>
        </w:rPr>
        <w:t xml:space="preserve">, the reporting periodicity that applies is the one indicated in the QoE configuration. The RAN3#115-e agreement states: </w:t>
      </w:r>
    </w:p>
    <w:p w14:paraId="23E4273E"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color w:val="00B050"/>
          <w:sz w:val="20"/>
          <w:szCs w:val="20"/>
          <w:lang w:val="en-GB"/>
        </w:rPr>
        <w:t>If the reporting periodicity of RVQoE is not explicitly indicated in the RVQoE configuration, RVQoE reports can be sent together with the legacy QoE reports.</w:t>
      </w:r>
    </w:p>
    <w:p w14:paraId="02C23B96"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Some companies argued that, in this case, it should be mandated that RVQoE and QoE reports should be sent together. </w:t>
      </w:r>
    </w:p>
    <w:p w14:paraId="70749699"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 In case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b/>
          <w:bCs/>
          <w:sz w:val="20"/>
          <w:szCs w:val="20"/>
          <w:lang w:val="en-GB"/>
        </w:rPr>
        <w:t>, which of the two reflects your understanding:</w:t>
      </w:r>
    </w:p>
    <w:p w14:paraId="43C252C3"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The RVQoE and QoE reports </w:t>
      </w:r>
      <w:r>
        <w:rPr>
          <w:rFonts w:ascii="Times New Roman" w:hAnsi="Times New Roman" w:cs="Times New Roman"/>
          <w:b/>
          <w:bCs/>
          <w:u w:val="single"/>
        </w:rPr>
        <w:t>are always sent together</w:t>
      </w:r>
      <w:r>
        <w:rPr>
          <w:rFonts w:ascii="Times New Roman" w:hAnsi="Times New Roman" w:cs="Times New Roman"/>
          <w:b/>
          <w:bCs/>
        </w:rPr>
        <w:t xml:space="preserve"> from the UE App layer to the UE AS layer.</w:t>
      </w:r>
    </w:p>
    <w:p w14:paraId="10EDD1E4"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It is </w:t>
      </w:r>
      <w:r>
        <w:rPr>
          <w:rFonts w:ascii="Times New Roman" w:hAnsi="Times New Roman" w:cs="Times New Roman"/>
          <w:b/>
          <w:bCs/>
          <w:u w:val="single"/>
        </w:rPr>
        <w:t>up to UE implementation</w:t>
      </w:r>
      <w:r>
        <w:rPr>
          <w:rFonts w:ascii="Times New Roman" w:hAnsi="Times New Roman" w:cs="Times New Roman"/>
          <w:b/>
          <w:bCs/>
        </w:rPr>
        <w:t xml:space="preserve"> whether the UE App layer sends together the QoE and RVQoE reports to the UE AS layer.</w:t>
      </w:r>
    </w:p>
    <w:p w14:paraId="0E99E382"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7087"/>
      </w:tblGrid>
      <w:tr w:rsidR="00DA7704" w14:paraId="2A5F6791" w14:textId="77777777">
        <w:trPr>
          <w:trHeight w:val="325"/>
        </w:trPr>
        <w:tc>
          <w:tcPr>
            <w:tcW w:w="1134" w:type="dxa"/>
          </w:tcPr>
          <w:p w14:paraId="40B9B73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0" w:type="dxa"/>
          </w:tcPr>
          <w:p w14:paraId="2FB75DC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7087" w:type="dxa"/>
          </w:tcPr>
          <w:p w14:paraId="2896559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DA7704" w14:paraId="43CC04D0" w14:textId="77777777">
        <w:trPr>
          <w:trHeight w:val="357"/>
        </w:trPr>
        <w:tc>
          <w:tcPr>
            <w:tcW w:w="1134" w:type="dxa"/>
          </w:tcPr>
          <w:p w14:paraId="2914DE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0" w:type="dxa"/>
          </w:tcPr>
          <w:p w14:paraId="20BBB4C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w:t>
            </w:r>
          </w:p>
        </w:tc>
        <w:tc>
          <w:tcPr>
            <w:tcW w:w="7087" w:type="dxa"/>
          </w:tcPr>
          <w:p w14:paraId="5C121AF7"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Understanding b) is compliant with the agreement from RAN3#115-e – </w:t>
            </w:r>
            <w:r>
              <w:rPr>
                <w:rFonts w:ascii="Times New Roman" w:hAnsi="Times New Roman" w:cs="Times New Roman"/>
                <w:b/>
                <w:bCs/>
              </w:rPr>
              <w:t>“can be” from the agreement is exactly understanding b).</w:t>
            </w:r>
            <w:r>
              <w:rPr>
                <w:rFonts w:ascii="Times New Roman" w:hAnsi="Times New Roman" w:cs="Times New Roman"/>
              </w:rPr>
              <w:t xml:space="preserve"> </w:t>
            </w:r>
          </w:p>
          <w:p w14:paraId="3DA1612E"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During RAN overload, </w:t>
            </w:r>
            <w:r>
              <w:rPr>
                <w:rFonts w:ascii="Times New Roman" w:hAnsi="Times New Roman" w:cs="Times New Roman"/>
                <w:b/>
                <w:bCs/>
              </w:rPr>
              <w:t>QoE reporting may be paused, without pausing the corresponding RVQoE reporting</w:t>
            </w:r>
            <w:r>
              <w:rPr>
                <w:rFonts w:ascii="Times New Roman" w:hAnsi="Times New Roman" w:cs="Times New Roman"/>
              </w:rPr>
              <w:t xml:space="preserve">. If there is no separate periodicity for RVQoE reporting, this would mean that </w:t>
            </w:r>
            <w:r>
              <w:rPr>
                <w:rFonts w:ascii="Times New Roman" w:hAnsi="Times New Roman" w:cs="Times New Roman"/>
                <w:b/>
                <w:bCs/>
              </w:rPr>
              <w:t>RVQoE reports could not be sent when the reporting of their QoE counterparts are paused during overload</w:t>
            </w:r>
            <w:r>
              <w:rPr>
                <w:rFonts w:ascii="Times New Roman" w:hAnsi="Times New Roman" w:cs="Times New Roman"/>
              </w:rPr>
              <w:t>. This contradicts the current specs.</w:t>
            </w:r>
          </w:p>
          <w:p w14:paraId="7319E751"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Option </w:t>
            </w:r>
            <w:r>
              <w:rPr>
                <w:rFonts w:ascii="Times New Roman" w:hAnsi="Times New Roman" w:cs="Times New Roman"/>
                <w:b/>
                <w:bCs/>
              </w:rPr>
              <w:t>b) gives implementation freedom</w:t>
            </w:r>
            <w:r>
              <w:rPr>
                <w:rFonts w:ascii="Times New Roman" w:hAnsi="Times New Roman" w:cs="Times New Roman"/>
              </w:rPr>
              <w:t>, it does not preclude implementations aligned with a).</w:t>
            </w:r>
          </w:p>
        </w:tc>
      </w:tr>
      <w:tr w:rsidR="00DA7704" w14:paraId="6C20D1CC" w14:textId="77777777">
        <w:trPr>
          <w:trHeight w:val="342"/>
        </w:trPr>
        <w:tc>
          <w:tcPr>
            <w:tcW w:w="1134" w:type="dxa"/>
          </w:tcPr>
          <w:p w14:paraId="04E1791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560" w:type="dxa"/>
          </w:tcPr>
          <w:p w14:paraId="58EFB69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7087" w:type="dxa"/>
          </w:tcPr>
          <w:p w14:paraId="7F3D422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496DA20E" w14:textId="77777777">
        <w:trPr>
          <w:trHeight w:val="325"/>
        </w:trPr>
        <w:tc>
          <w:tcPr>
            <w:tcW w:w="1134" w:type="dxa"/>
          </w:tcPr>
          <w:p w14:paraId="421D7F5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60" w:type="dxa"/>
          </w:tcPr>
          <w:p w14:paraId="00A9F1D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7087" w:type="dxa"/>
          </w:tcPr>
          <w:p w14:paraId="12AE728F"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D8F14D" w14:textId="77777777">
        <w:trPr>
          <w:trHeight w:val="325"/>
        </w:trPr>
        <w:tc>
          <w:tcPr>
            <w:tcW w:w="1134" w:type="dxa"/>
          </w:tcPr>
          <w:p w14:paraId="0DEECAB8"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560" w:type="dxa"/>
          </w:tcPr>
          <w:p w14:paraId="1CE3A58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w:t>
            </w:r>
          </w:p>
        </w:tc>
        <w:tc>
          <w:tcPr>
            <w:tcW w:w="7087" w:type="dxa"/>
          </w:tcPr>
          <w:p w14:paraId="6452C83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APP layer will not know whether an overload happens. The question is about reports from UE APP layer to the UE AS layer, but not from UE AS layer to RAN. Then in this case, if RVQoE reporting periodicity is not explicitly configured, RVQoE and QoE reports are always sent together from APP layer to AS layer. This does not contradicts the current specs.</w:t>
            </w:r>
          </w:p>
        </w:tc>
      </w:tr>
      <w:tr w:rsidR="00DA7704" w14:paraId="6B4A4BFA" w14:textId="77777777">
        <w:trPr>
          <w:trHeight w:val="342"/>
        </w:trPr>
        <w:tc>
          <w:tcPr>
            <w:tcW w:w="1134" w:type="dxa"/>
          </w:tcPr>
          <w:p w14:paraId="5BADFDB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560" w:type="dxa"/>
          </w:tcPr>
          <w:p w14:paraId="3CEA96F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p>
        </w:tc>
        <w:tc>
          <w:tcPr>
            <w:tcW w:w="7087" w:type="dxa"/>
          </w:tcPr>
          <w:p w14:paraId="0EAF556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Huawei.</w:t>
            </w:r>
          </w:p>
          <w:p w14:paraId="776B52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As we commented in the first round, if RVQoE reporting periodicity is configured, UE app layer can send legacy QoE report and RVQoE report together to UE AS layer, which is simple and straightforward. The overload situation would not have any impact on this, as pointed by Huawei, which only influences reporting from UE AS to RAN.</w:t>
            </w:r>
          </w:p>
        </w:tc>
      </w:tr>
      <w:tr w:rsidR="00286F59" w14:paraId="11EBD690" w14:textId="77777777">
        <w:trPr>
          <w:trHeight w:val="342"/>
        </w:trPr>
        <w:tc>
          <w:tcPr>
            <w:tcW w:w="1134" w:type="dxa"/>
          </w:tcPr>
          <w:p w14:paraId="1C51998D" w14:textId="61F6F09C"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amsung</w:t>
            </w:r>
          </w:p>
        </w:tc>
        <w:tc>
          <w:tcPr>
            <w:tcW w:w="1560" w:type="dxa"/>
          </w:tcPr>
          <w:p w14:paraId="017C8713" w14:textId="59798ACE"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p>
        </w:tc>
        <w:tc>
          <w:tcPr>
            <w:tcW w:w="7087" w:type="dxa"/>
          </w:tcPr>
          <w:p w14:paraId="21569701" w14:textId="26CEF487"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Thanks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for</w:t>
            </w:r>
            <w:r>
              <w:rPr>
                <w:rFonts w:ascii="Times New Roman" w:eastAsiaTheme="minorEastAsia" w:hAnsi="Times New Roman" w:cs="Times New Roman"/>
                <w:sz w:val="20"/>
                <w:szCs w:val="20"/>
                <w:lang w:val="en-GB" w:eastAsia="zh-CN"/>
              </w:rPr>
              <w:t xml:space="preserve"> the clarification. We think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is compliant with the agreement we had from 115e meeting.  We prefer to follow the agreement we already had.</w:t>
            </w:r>
          </w:p>
        </w:tc>
      </w:tr>
      <w:tr w:rsidR="00DA7704" w14:paraId="26E21E5D"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F92FF16" w14:textId="3E0D175B"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6550A3A1" w14:textId="7F5F2408"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p>
        </w:tc>
        <w:tc>
          <w:tcPr>
            <w:tcW w:w="7087" w:type="dxa"/>
            <w:tcBorders>
              <w:top w:val="single" w:sz="4" w:space="0" w:color="auto"/>
              <w:left w:val="single" w:sz="4" w:space="0" w:color="auto"/>
              <w:bottom w:val="single" w:sz="4" w:space="0" w:color="auto"/>
              <w:right w:val="single" w:sz="4" w:space="0" w:color="auto"/>
            </w:tcBorders>
          </w:tcPr>
          <w:p w14:paraId="61A23542" w14:textId="041A2B14"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Seems to be the most straightforward. We agree that the overload situation doesn't impact the app layer reporting.</w:t>
            </w:r>
          </w:p>
        </w:tc>
      </w:tr>
      <w:tr w:rsidR="00DA7704" w14:paraId="0D7D9CAD" w14:textId="77777777">
        <w:trPr>
          <w:trHeight w:val="325"/>
        </w:trPr>
        <w:tc>
          <w:tcPr>
            <w:tcW w:w="1134" w:type="dxa"/>
          </w:tcPr>
          <w:p w14:paraId="4BB393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560" w:type="dxa"/>
          </w:tcPr>
          <w:p w14:paraId="43210FF1" w14:textId="77777777" w:rsidR="00DA7704" w:rsidRDefault="00DA7704">
            <w:pPr>
              <w:spacing w:before="120" w:after="0"/>
              <w:rPr>
                <w:rFonts w:ascii="Times New Roman" w:eastAsia="MS ??" w:hAnsi="Times New Roman" w:cs="Times New Roman"/>
                <w:sz w:val="20"/>
                <w:szCs w:val="20"/>
                <w:lang w:val="en-GB" w:eastAsia="zh-CN"/>
              </w:rPr>
            </w:pPr>
          </w:p>
        </w:tc>
        <w:tc>
          <w:tcPr>
            <w:tcW w:w="7087" w:type="dxa"/>
          </w:tcPr>
          <w:p w14:paraId="666D630B" w14:textId="77777777" w:rsidR="00DA7704" w:rsidRDefault="00DA7704">
            <w:pPr>
              <w:spacing w:before="120" w:after="0"/>
              <w:rPr>
                <w:rFonts w:ascii="Times New Roman" w:eastAsia="MS ??" w:hAnsi="Times New Roman" w:cs="Times New Roman"/>
                <w:sz w:val="20"/>
                <w:szCs w:val="20"/>
                <w:lang w:val="en-GB" w:eastAsia="zh-CN"/>
              </w:rPr>
            </w:pPr>
          </w:p>
        </w:tc>
      </w:tr>
    </w:tbl>
    <w:p w14:paraId="26F0601B"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15DA8D2" w14:textId="3AD325B9" w:rsidR="00DF0250" w:rsidRPr="00DF0250" w:rsidRDefault="00DF0250">
      <w:pPr>
        <w:rPr>
          <w:rFonts w:ascii="Times New Roman" w:hAnsi="Times New Roman" w:cs="Times New Roman"/>
          <w:color w:val="0070C0"/>
          <w:sz w:val="20"/>
          <w:szCs w:val="22"/>
        </w:rPr>
      </w:pPr>
      <w:r w:rsidRPr="00DF0250">
        <w:rPr>
          <w:rFonts w:ascii="Times New Roman" w:hAnsi="Times New Roman" w:cs="Times New Roman"/>
          <w:color w:val="0070C0"/>
          <w:sz w:val="20"/>
          <w:szCs w:val="22"/>
        </w:rPr>
        <w:t>4:3 in favor of b)</w:t>
      </w:r>
      <w:r w:rsidR="00660DA2">
        <w:rPr>
          <w:rFonts w:ascii="Times New Roman" w:hAnsi="Times New Roman" w:cs="Times New Roman"/>
          <w:color w:val="0070C0"/>
          <w:sz w:val="20"/>
          <w:szCs w:val="22"/>
        </w:rPr>
        <w:t>, the issue should be discussed further.</w:t>
      </w:r>
    </w:p>
    <w:p w14:paraId="6EA3BBAE" w14:textId="4A999A03" w:rsidR="00DA7704" w:rsidRPr="00F3579F" w:rsidRDefault="00546E9F">
      <w:pPr>
        <w:rPr>
          <w:rFonts w:ascii="Times New Roman" w:hAnsi="Times New Roman" w:cs="Times New Roman"/>
          <w:b/>
          <w:bCs/>
          <w:color w:val="0070C0"/>
          <w:sz w:val="20"/>
          <w:szCs w:val="22"/>
        </w:rPr>
      </w:pPr>
      <w:r w:rsidRPr="00F3579F">
        <w:rPr>
          <w:rFonts w:ascii="Times New Roman" w:hAnsi="Times New Roman" w:cs="Times New Roman"/>
          <w:b/>
          <w:bCs/>
          <w:color w:val="0070C0"/>
          <w:sz w:val="20"/>
          <w:szCs w:val="22"/>
        </w:rPr>
        <w:t>Discuss wh</w:t>
      </w:r>
      <w:r w:rsidR="00F3579F">
        <w:rPr>
          <w:rFonts w:ascii="Times New Roman" w:hAnsi="Times New Roman" w:cs="Times New Roman"/>
          <w:b/>
          <w:bCs/>
          <w:color w:val="0070C0"/>
          <w:sz w:val="20"/>
          <w:szCs w:val="22"/>
        </w:rPr>
        <w:t>ich on</w:t>
      </w:r>
      <w:r w:rsidR="00446503">
        <w:rPr>
          <w:rFonts w:ascii="Times New Roman" w:hAnsi="Times New Roman" w:cs="Times New Roman"/>
          <w:b/>
          <w:bCs/>
          <w:color w:val="0070C0"/>
          <w:sz w:val="20"/>
          <w:szCs w:val="22"/>
        </w:rPr>
        <w:t>e of</w:t>
      </w:r>
      <w:r w:rsidR="00F3579F">
        <w:rPr>
          <w:rFonts w:ascii="Times New Roman" w:hAnsi="Times New Roman" w:cs="Times New Roman"/>
          <w:b/>
          <w:bCs/>
          <w:color w:val="0070C0"/>
          <w:sz w:val="20"/>
          <w:szCs w:val="22"/>
        </w:rPr>
        <w:t xml:space="preserve"> the two following two holds:</w:t>
      </w:r>
    </w:p>
    <w:p w14:paraId="657A1C56"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The RVQoE and QoE reports </w:t>
      </w:r>
      <w:r w:rsidRPr="00F3579F">
        <w:rPr>
          <w:rFonts w:ascii="Times New Roman" w:hAnsi="Times New Roman" w:cs="Times New Roman"/>
          <w:b/>
          <w:bCs/>
          <w:color w:val="0070C0"/>
          <w:u w:val="single"/>
        </w:rPr>
        <w:t>are always sent together</w:t>
      </w:r>
      <w:r w:rsidRPr="00F3579F">
        <w:rPr>
          <w:rFonts w:ascii="Times New Roman" w:hAnsi="Times New Roman" w:cs="Times New Roman"/>
          <w:b/>
          <w:bCs/>
          <w:color w:val="0070C0"/>
        </w:rPr>
        <w:t xml:space="preserve"> from the UE App layer to the UE AS layer.</w:t>
      </w:r>
    </w:p>
    <w:p w14:paraId="189DF7C5"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It is </w:t>
      </w:r>
      <w:r w:rsidRPr="00F3579F">
        <w:rPr>
          <w:rFonts w:ascii="Times New Roman" w:hAnsi="Times New Roman" w:cs="Times New Roman"/>
          <w:b/>
          <w:bCs/>
          <w:color w:val="0070C0"/>
          <w:u w:val="single"/>
        </w:rPr>
        <w:t>up to UE implementation</w:t>
      </w:r>
      <w:r w:rsidRPr="00F3579F">
        <w:rPr>
          <w:rFonts w:ascii="Times New Roman" w:hAnsi="Times New Roman" w:cs="Times New Roman"/>
          <w:b/>
          <w:bCs/>
          <w:color w:val="0070C0"/>
        </w:rPr>
        <w:t xml:space="preserve"> whether the UE App layer sends together the QoE and RVQoE reports to the UE AS layer.</w:t>
      </w:r>
    </w:p>
    <w:p w14:paraId="108F5344" w14:textId="77777777" w:rsidR="00F3579F" w:rsidRPr="00381E24" w:rsidRDefault="00F3579F">
      <w:pPr>
        <w:rPr>
          <w:rFonts w:ascii="Times New Roman" w:hAnsi="Times New Roman" w:cs="Times New Roman"/>
          <w:b/>
          <w:bCs/>
          <w:color w:val="00B050"/>
          <w:sz w:val="20"/>
          <w:szCs w:val="22"/>
        </w:rPr>
      </w:pPr>
    </w:p>
    <w:p w14:paraId="1A63F42E" w14:textId="77777777" w:rsidR="00DA7704" w:rsidRDefault="00C431CD">
      <w:pPr>
        <w:pStyle w:val="Heading1"/>
        <w:rPr>
          <w:rFonts w:ascii="Arial" w:hAnsi="Arial" w:cs="Arial"/>
          <w:lang w:val="en-GB"/>
        </w:rPr>
      </w:pPr>
      <w:r>
        <w:rPr>
          <w:rFonts w:ascii="Arial" w:hAnsi="Arial" w:cs="Arial"/>
          <w:lang w:val="en-GB"/>
        </w:rPr>
        <w:t>First round</w:t>
      </w:r>
    </w:p>
    <w:p w14:paraId="079B46D5" w14:textId="77777777" w:rsidR="00DA7704" w:rsidRDefault="00C431CD">
      <w:pPr>
        <w:rPr>
          <w:rFonts w:ascii="Times New Roman" w:hAnsi="Times New Roman" w:cs="Times New Roman"/>
          <w:sz w:val="20"/>
          <w:szCs w:val="22"/>
          <w:lang w:val="en-GB"/>
        </w:rPr>
      </w:pPr>
      <w:r>
        <w:rPr>
          <w:rFonts w:ascii="Times New Roman" w:hAnsi="Times New Roman" w:cs="Times New Roman"/>
          <w:sz w:val="20"/>
          <w:szCs w:val="22"/>
          <w:lang w:val="en-GB"/>
        </w:rPr>
        <w:t xml:space="preserve">Papers </w:t>
      </w:r>
      <w:r>
        <w:rPr>
          <w:rFonts w:ascii="Times New Roman" w:hAnsi="Times New Roman" w:cs="Times New Roman"/>
          <w:b/>
          <w:bCs/>
          <w:color w:val="000000"/>
          <w:sz w:val="20"/>
          <w:szCs w:val="20"/>
          <w:lang w:val="en-GB"/>
        </w:rPr>
        <w:t>[Nok4559], [Hua4598], [Sam4837]</w:t>
      </w:r>
      <w:r>
        <w:rPr>
          <w:rFonts w:ascii="Times New Roman" w:hAnsi="Times New Roman" w:cs="Times New Roman"/>
          <w:color w:val="000000"/>
          <w:sz w:val="20"/>
          <w:szCs w:val="20"/>
          <w:lang w:val="en-GB"/>
        </w:rPr>
        <w:t xml:space="preserve"> and </w:t>
      </w: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propose how to answer the RAN2 LS.</w:t>
      </w:r>
    </w:p>
    <w:p w14:paraId="6AF8FCBE" w14:textId="77777777" w:rsidR="00DA7704" w:rsidRDefault="00C431CD">
      <w:pPr>
        <w:pStyle w:val="Heading2"/>
        <w:rPr>
          <w:rFonts w:ascii="Arial" w:hAnsi="Arial" w:cs="Arial"/>
          <w:lang w:val="en-GB"/>
        </w:rPr>
      </w:pPr>
      <w:r>
        <w:rPr>
          <w:rFonts w:ascii="Arial" w:hAnsi="Arial" w:cs="Arial"/>
          <w:lang w:val="en-GB"/>
        </w:rPr>
        <w:t>Periodicity of application layer Buffer level measurements</w:t>
      </w:r>
    </w:p>
    <w:p w14:paraId="6D04FB08"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(paraphrased, for better understanding) Q1 from the RAN2 LS:</w:t>
      </w:r>
    </w:p>
    <w:p w14:paraId="731F6567"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Should the RAN instruct the UE how often it should </w:t>
      </w:r>
      <w:r>
        <w:rPr>
          <w:rFonts w:ascii="Times New Roman" w:hAnsi="Times New Roman" w:cs="Times New Roman"/>
          <w:b/>
          <w:bCs/>
          <w:sz w:val="20"/>
          <w:szCs w:val="20"/>
          <w:u w:val="single"/>
          <w:lang w:val="en-GB"/>
        </w:rPr>
        <w:t>measure</w:t>
      </w:r>
      <w:r>
        <w:rPr>
          <w:rFonts w:ascii="Times New Roman" w:hAnsi="Times New Roman" w:cs="Times New Roman"/>
          <w:b/>
          <w:bCs/>
          <w:sz w:val="20"/>
          <w:szCs w:val="20"/>
          <w:lang w:val="en-GB"/>
        </w:rPr>
        <w:t xml:space="preserve"> the buffer level to be reported in RVQoE reports?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42469E3" w14:textId="77777777">
        <w:trPr>
          <w:trHeight w:val="325"/>
        </w:trPr>
        <w:tc>
          <w:tcPr>
            <w:tcW w:w="1378" w:type="dxa"/>
          </w:tcPr>
          <w:p w14:paraId="1682183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7E853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46EB18D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5670437" w14:textId="77777777">
        <w:trPr>
          <w:trHeight w:val="357"/>
        </w:trPr>
        <w:tc>
          <w:tcPr>
            <w:tcW w:w="1378" w:type="dxa"/>
          </w:tcPr>
          <w:p w14:paraId="43FF0062"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8BE7E0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7200" w:type="dxa"/>
          </w:tcPr>
          <w:p w14:paraId="2EF6996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App layer measures the buffer level and provides the result as soon as it is available. In other words, how often measurements are taken should be up to App layer implementation.</w:t>
            </w:r>
          </w:p>
        </w:tc>
      </w:tr>
      <w:tr w:rsidR="00DA7704" w14:paraId="3E2CA65D" w14:textId="77777777">
        <w:trPr>
          <w:trHeight w:val="342"/>
        </w:trPr>
        <w:tc>
          <w:tcPr>
            <w:tcW w:w="1378" w:type="dxa"/>
          </w:tcPr>
          <w:p w14:paraId="1C1993F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C4F1AD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21C674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p w14:paraId="557D2C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Please note that the RAN2 question is on defining a buffer level </w:t>
            </w:r>
            <w:r>
              <w:rPr>
                <w:rFonts w:ascii="Times New Roman" w:eastAsiaTheme="minorEastAsia" w:hAnsi="Times New Roman" w:cs="Times New Roman"/>
                <w:b/>
                <w:bCs/>
                <w:sz w:val="20"/>
                <w:szCs w:val="20"/>
                <w:lang w:val="en-GB" w:eastAsia="zh-CN"/>
              </w:rPr>
              <w:t>measurement</w:t>
            </w:r>
            <w:r>
              <w:rPr>
                <w:rFonts w:ascii="Times New Roman" w:eastAsiaTheme="minorEastAsia" w:hAnsi="Times New Roman" w:cs="Times New Roman"/>
                <w:sz w:val="20"/>
                <w:szCs w:val="20"/>
                <w:lang w:val="en-GB" w:eastAsia="zh-CN"/>
              </w:rPr>
              <w:t xml:space="preserve"> periodicity and not the RVQoE reporting periodicity.</w:t>
            </w:r>
          </w:p>
        </w:tc>
      </w:tr>
      <w:tr w:rsidR="00DA7704" w14:paraId="77B85A08" w14:textId="77777777">
        <w:trPr>
          <w:trHeight w:val="325"/>
        </w:trPr>
        <w:tc>
          <w:tcPr>
            <w:tcW w:w="1378" w:type="dxa"/>
          </w:tcPr>
          <w:p w14:paraId="51F71B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0FDC20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0ADB144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ame view as Ericsson. </w:t>
            </w:r>
          </w:p>
          <w:p w14:paraId="11A4BB7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Buffer level is just one of the QoE metrics that is collected in a RAN visible way, which should be measured together with other metrics.</w:t>
            </w:r>
          </w:p>
        </w:tc>
      </w:tr>
      <w:tr w:rsidR="00DA7704" w14:paraId="7AFA69FE" w14:textId="77777777">
        <w:trPr>
          <w:trHeight w:val="325"/>
        </w:trPr>
        <w:tc>
          <w:tcPr>
            <w:tcW w:w="1378" w:type="dxa"/>
          </w:tcPr>
          <w:p w14:paraId="7662DFA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Xiaomi</w:t>
            </w:r>
          </w:p>
        </w:tc>
        <w:tc>
          <w:tcPr>
            <w:tcW w:w="1209" w:type="dxa"/>
          </w:tcPr>
          <w:p w14:paraId="4A2A5E6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675A9A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measurement periodicity should be configurated by legacy QMC which is instructed by OAM instead of RAN</w:t>
            </w:r>
          </w:p>
        </w:tc>
      </w:tr>
      <w:tr w:rsidR="00DA7704" w14:paraId="74821586" w14:textId="77777777">
        <w:trPr>
          <w:trHeight w:val="342"/>
        </w:trPr>
        <w:tc>
          <w:tcPr>
            <w:tcW w:w="1378" w:type="dxa"/>
          </w:tcPr>
          <w:p w14:paraId="73C13EE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57978AC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6BB399D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buffer level values for RVQoE are extracted from the legacy QoE values which had been measured and recorded by the UE application layer. RAN side does not request the new measurement for RVQoE. The buffer level list for RVQoE should be filled in by the latest values in the buffer level list of the legacy QoE within the RV QoE reporting period.</w:t>
            </w:r>
          </w:p>
          <w:p w14:paraId="64215A4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ne more thing for RAN3, the buffer level measurement frequency in the application layer is useful for RAN to determine the appropriate ran-</w:t>
            </w:r>
            <w:proofErr w:type="spellStart"/>
            <w:r>
              <w:rPr>
                <w:rFonts w:ascii="Times New Roman" w:eastAsiaTheme="minorEastAsia" w:hAnsi="Times New Roman" w:cs="Times New Roman"/>
                <w:sz w:val="20"/>
                <w:szCs w:val="20"/>
                <w:lang w:eastAsia="zh-CN"/>
              </w:rPr>
              <w:t>VisiblePeriodicity</w:t>
            </w:r>
            <w:proofErr w:type="spellEnd"/>
            <w:r>
              <w:rPr>
                <w:rFonts w:ascii="Times New Roman" w:eastAsiaTheme="minorEastAsia" w:hAnsi="Times New Roman" w:cs="Times New Roman"/>
                <w:sz w:val="20"/>
                <w:szCs w:val="20"/>
                <w:lang w:eastAsia="zh-CN"/>
              </w:rPr>
              <w:t xml:space="preserve"> value, as we mentioned in contribution [4837].</w:t>
            </w:r>
          </w:p>
          <w:p w14:paraId="6E91C7E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 xml:space="preserve">or DASH service, in the legacy QoE report, the buffer level value is recoded in the Buffer Level entry list every n ms, where n should be the parameter defined by OAM. </w:t>
            </w:r>
          </w:p>
          <w:p w14:paraId="69AE24B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will be beneficial and reasonable when the RV-QoE periodicity value and the n value of buffer level value recoded in legacy QoE report are harmonized.</w:t>
            </w:r>
          </w:p>
          <w:p w14:paraId="58C40F0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It’s proposed that RAN3 takes into account the buffer level recorded interval time in legacy QoE report, which is helpful to determine the value of RV-QoE periodicity value.</w:t>
            </w:r>
          </w:p>
        </w:tc>
      </w:tr>
      <w:tr w:rsidR="00DA7704" w14:paraId="480B9725" w14:textId="77777777">
        <w:trPr>
          <w:trHeight w:val="342"/>
        </w:trPr>
        <w:tc>
          <w:tcPr>
            <w:tcW w:w="1378" w:type="dxa"/>
          </w:tcPr>
          <w:p w14:paraId="3D80B1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1209" w:type="dxa"/>
          </w:tcPr>
          <w:p w14:paraId="0D27B85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Pr>
          <w:p w14:paraId="47D8178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measurement </w:t>
            </w:r>
            <w:r>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can be used </w:t>
            </w:r>
          </w:p>
        </w:tc>
      </w:tr>
      <w:tr w:rsidR="00DA7704" w14:paraId="3A2A498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B23F0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7427FE0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3D492557"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46260E6" w14:textId="77777777">
        <w:trPr>
          <w:trHeight w:val="325"/>
        </w:trPr>
        <w:tc>
          <w:tcPr>
            <w:tcW w:w="1378" w:type="dxa"/>
          </w:tcPr>
          <w:p w14:paraId="0352BDF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184EA059"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w:t>
            </w:r>
          </w:p>
        </w:tc>
        <w:tc>
          <w:tcPr>
            <w:tcW w:w="7200" w:type="dxa"/>
          </w:tcPr>
          <w:p w14:paraId="1B6A343A"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hAnsi="Times New Roman" w:cs="Times New Roman"/>
                <w:sz w:val="20"/>
                <w:szCs w:val="20"/>
                <w:lang w:val="en-GB"/>
              </w:rPr>
              <w:t>The app layer measures the buffer level according to a periodicity defined by the implementation (or in SA4 defined configuration?) and provides the result according to the configured reporting periodicity</w:t>
            </w:r>
            <w:r>
              <w:rPr>
                <w:rFonts w:ascii="Times New Roman" w:eastAsia="MS ??" w:hAnsi="Times New Roman" w:cs="Times New Roman"/>
                <w:sz w:val="20"/>
                <w:szCs w:val="20"/>
                <w:lang w:val="en-GB" w:eastAsia="zh-CN"/>
              </w:rPr>
              <w:t xml:space="preserve">. </w:t>
            </w:r>
          </w:p>
        </w:tc>
      </w:tr>
    </w:tbl>
    <w:p w14:paraId="5D2C2A80"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02674D44"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All companies responded with a “no”.</w:t>
      </w:r>
    </w:p>
    <w:p w14:paraId="500BD83C" w14:textId="77777777" w:rsidR="00DA7704" w:rsidRDefault="00C431CD">
      <w:pPr>
        <w:spacing w:before="120" w:after="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WF:</w:t>
      </w:r>
    </w:p>
    <w:p w14:paraId="717347E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Proposals on how to answer 2 out of 3 sub-questions of RAN2’s Q1 are:</w:t>
      </w:r>
    </w:p>
    <w:p w14:paraId="6E9AF635" w14:textId="77777777"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Is a periodicity specific for buffer level measurement necessary for RVQoE? </w:t>
      </w:r>
    </w:p>
    <w:p w14:paraId="49E44890" w14:textId="77777777" w:rsidR="00DA7704" w:rsidRDefault="00C431C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Inform RAN2 that there is no need for the RAN to instruct the UE how often it should measure the buffer level for RVQoE reports.</w:t>
      </w:r>
    </w:p>
    <w:p w14:paraId="55C09926" w14:textId="77777777"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If not, what is the assumption on how often the application layer performs the measurements of buffer level? </w:t>
      </w:r>
    </w:p>
    <w:p w14:paraId="58C022AA" w14:textId="77777777" w:rsidR="00DA7704" w:rsidRDefault="00C431C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Inform RAN2 that, how often the buffer level measurements are taken, is up to UE Application layer implementation.</w:t>
      </w:r>
    </w:p>
    <w:p w14:paraId="5DFEC81F"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Meanwhile, the issues to be discussed in the second round are:</w:t>
      </w:r>
    </w:p>
    <w:p w14:paraId="12502A7A"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How is the buffer level list for the RVQoE report filled?</w:t>
      </w:r>
    </w:p>
    <w:p w14:paraId="287A3C4D"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The aforementioned Samsung’s proposal.</w:t>
      </w:r>
    </w:p>
    <w:p w14:paraId="74680F5D"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i/>
          <w:iCs/>
          <w:color w:val="0070C0"/>
          <w:sz w:val="20"/>
          <w:szCs w:val="22"/>
        </w:rPr>
        <w:t xml:space="preserve"> </w:t>
      </w:r>
    </w:p>
    <w:p w14:paraId="5722683B" w14:textId="77777777" w:rsidR="00DA7704" w:rsidRDefault="00C431CD">
      <w:pPr>
        <w:pStyle w:val="Heading2"/>
        <w:rPr>
          <w:rFonts w:ascii="Arial" w:hAnsi="Arial" w:cs="Arial"/>
          <w:lang w:val="en-GB"/>
        </w:rPr>
      </w:pPr>
      <w:r>
        <w:rPr>
          <w:rFonts w:ascii="Arial" w:hAnsi="Arial" w:cs="Arial"/>
          <w:lang w:val="en-GB"/>
        </w:rPr>
        <w:lastRenderedPageBreak/>
        <w:t>Indication of PDU Session ID in RVQoE reports</w:t>
      </w:r>
    </w:p>
    <w:p w14:paraId="5E058C9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Q2 from the RAN2 LS, split into two questions:</w:t>
      </w:r>
    </w:p>
    <w:p w14:paraId="15EFE2BD"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Q2-1: Should the PDU session ID(s) be provided for each RAN visible QoE report?</w:t>
      </w:r>
    </w:p>
    <w:p w14:paraId="2EDA2AA1"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Q2-2: Should the PDU session ID(s) be mandatory or optional in the signalling?</w:t>
      </w:r>
    </w:p>
    <w:p w14:paraId="02A21E49" w14:textId="77777777" w:rsidR="00DA7704" w:rsidRDefault="00DA7704">
      <w:pPr>
        <w:rPr>
          <w:rFonts w:ascii="Times New Roman" w:hAnsi="Times New Roman" w:cs="Times New Roman"/>
          <w:b/>
          <w:bCs/>
          <w:sz w:val="20"/>
          <w:szCs w:val="20"/>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30E789B" w14:textId="77777777">
        <w:trPr>
          <w:trHeight w:val="325"/>
        </w:trPr>
        <w:tc>
          <w:tcPr>
            <w:tcW w:w="1378" w:type="dxa"/>
          </w:tcPr>
          <w:p w14:paraId="2070880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82010A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212C7EF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45ACE78" w14:textId="77777777">
        <w:trPr>
          <w:trHeight w:val="357"/>
        </w:trPr>
        <w:tc>
          <w:tcPr>
            <w:tcW w:w="1378" w:type="dxa"/>
          </w:tcPr>
          <w:p w14:paraId="1D35ADB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F565CC3"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1F3174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provided once or upon PDU Session ID change</w:t>
            </w:r>
          </w:p>
        </w:tc>
        <w:tc>
          <w:tcPr>
            <w:tcW w:w="7200" w:type="dxa"/>
          </w:tcPr>
          <w:p w14:paraId="474BDC9A"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to send the PDU Session ID in every report. It is enough to send it </w:t>
            </w:r>
            <w:r>
              <w:rPr>
                <w:rFonts w:ascii="Times New Roman" w:hAnsi="Times New Roman" w:cs="Times New Roman"/>
                <w:b/>
                <w:bCs/>
                <w:sz w:val="20"/>
                <w:szCs w:val="20"/>
                <w:lang w:val="en-GB"/>
              </w:rPr>
              <w:t>in the first report, and whenever it changes later.</w:t>
            </w:r>
          </w:p>
        </w:tc>
      </w:tr>
      <w:tr w:rsidR="00DA7704" w14:paraId="512662B5" w14:textId="77777777">
        <w:trPr>
          <w:trHeight w:val="342"/>
        </w:trPr>
        <w:tc>
          <w:tcPr>
            <w:tcW w:w="1378" w:type="dxa"/>
          </w:tcPr>
          <w:p w14:paraId="6AAFB9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2617B3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20C035E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08E0F22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UE APP provides the PDU session ID(s) to UE AS every time it generates a RVQoE report. Now if we want UE AS to add the PDU session ID only during the first RVQoE report or whenever a PDU session changes (as E/// commented above), this is adding more complexity to the UE handling of PDU session ID(s) received from UE APP and also more complexity at gNB as it doesn’t know which RVQoE report to expect the PDU session from UE.</w:t>
            </w:r>
          </w:p>
          <w:p w14:paraId="38B6991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therefore propose to keep it simple by UE always adding the PDU session ID in each RVQoE report (i.e., mandatory). Alternatively, we can keep the IE as optional and leave it up to UE implementation when to include the PDU session ID(s). </w:t>
            </w:r>
          </w:p>
          <w:p w14:paraId="501BAF71"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71154F61" w14:textId="77777777">
        <w:trPr>
          <w:trHeight w:val="325"/>
        </w:trPr>
        <w:tc>
          <w:tcPr>
            <w:tcW w:w="1378" w:type="dxa"/>
          </w:tcPr>
          <w:p w14:paraId="48A59FB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4EDAAF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7CC3A98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794A9E6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share similar view as QC. </w:t>
            </w:r>
          </w:p>
          <w:p w14:paraId="3EAC3FB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prefer to make it a mandatory IE and provided for each RAN visible QoE report. Without the knowledge of PDU session ID associated to a corresponding RAN visible QoE report, RAN has no ability to optimize the radio resources.</w:t>
            </w:r>
          </w:p>
        </w:tc>
      </w:tr>
      <w:tr w:rsidR="00DA7704" w14:paraId="318CDE4B" w14:textId="77777777">
        <w:trPr>
          <w:trHeight w:val="325"/>
        </w:trPr>
        <w:tc>
          <w:tcPr>
            <w:tcW w:w="1378" w:type="dxa"/>
          </w:tcPr>
          <w:p w14:paraId="59933EC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00DBA8D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05EA00F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provided once or upon PDU Session ID change</w:t>
            </w:r>
          </w:p>
        </w:tc>
        <w:tc>
          <w:tcPr>
            <w:tcW w:w="7200" w:type="dxa"/>
          </w:tcPr>
          <w:p w14:paraId="7D333BD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Share the same view as E///, we don’t think add the PDU session ID only during the first RVQoE report or whenever a PDU session changes (as E/// commented above) is more complexity, since adding PDU session ID in every RVQoE report will still have the same problem when PDU session changes. Not including PDU session ID in every RVQoE report is more signalling saving over </w:t>
            </w:r>
            <w:proofErr w:type="spellStart"/>
            <w:r>
              <w:rPr>
                <w:rFonts w:ascii="Times New Roman" w:eastAsiaTheme="minorEastAsia" w:hAnsi="Times New Roman" w:cs="Times New Roman"/>
                <w:sz w:val="20"/>
                <w:szCs w:val="20"/>
                <w:lang w:val="en-GB" w:eastAsia="zh-CN"/>
              </w:rPr>
              <w:t>Uu</w:t>
            </w:r>
            <w:proofErr w:type="spellEnd"/>
            <w:r>
              <w:rPr>
                <w:rFonts w:ascii="Times New Roman" w:eastAsiaTheme="minorEastAsia" w:hAnsi="Times New Roman" w:cs="Times New Roman"/>
                <w:sz w:val="20"/>
                <w:szCs w:val="20"/>
                <w:lang w:val="en-GB" w:eastAsia="zh-CN"/>
              </w:rPr>
              <w:t>.</w:t>
            </w:r>
          </w:p>
        </w:tc>
      </w:tr>
      <w:tr w:rsidR="00DA7704" w14:paraId="595358AC" w14:textId="77777777">
        <w:trPr>
          <w:trHeight w:val="342"/>
        </w:trPr>
        <w:tc>
          <w:tcPr>
            <w:tcW w:w="1378" w:type="dxa"/>
          </w:tcPr>
          <w:p w14:paraId="0438BC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0FA9877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No</w:t>
            </w:r>
          </w:p>
          <w:p w14:paraId="75BDC5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Optional,</w:t>
            </w:r>
          </w:p>
        </w:tc>
        <w:tc>
          <w:tcPr>
            <w:tcW w:w="7200" w:type="dxa"/>
          </w:tcPr>
          <w:p w14:paraId="0C5A3BD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think it’s not an essential issue. keep it as current status: optional.</w:t>
            </w:r>
          </w:p>
          <w:p w14:paraId="7CB57B9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s QC said, it can be up to UE implementation. It’s not prohibited for UE to add it in every report. </w:t>
            </w:r>
          </w:p>
        </w:tc>
      </w:tr>
      <w:tr w:rsidR="00DA7704" w14:paraId="6738A7A6" w14:textId="77777777">
        <w:trPr>
          <w:trHeight w:val="342"/>
        </w:trPr>
        <w:tc>
          <w:tcPr>
            <w:tcW w:w="1378" w:type="dxa"/>
          </w:tcPr>
          <w:p w14:paraId="6D7DB26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1209" w:type="dxa"/>
          </w:tcPr>
          <w:p w14:paraId="0A31CCD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Q2-1: No</w:t>
            </w:r>
          </w:p>
          <w:p w14:paraId="338B5F2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Q2-2: Optional,</w:t>
            </w:r>
          </w:p>
        </w:tc>
        <w:tc>
          <w:tcPr>
            <w:tcW w:w="7200" w:type="dxa"/>
          </w:tcPr>
          <w:p w14:paraId="04CDD3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K</w:t>
            </w:r>
            <w:r>
              <w:rPr>
                <w:rFonts w:ascii="Times New Roman" w:eastAsiaTheme="minorEastAsia" w:hAnsi="Times New Roman" w:cs="Times New Roman" w:hint="eastAsia"/>
                <w:sz w:val="20"/>
                <w:szCs w:val="20"/>
                <w:lang w:eastAsia="zh-CN"/>
              </w:rPr>
              <w:t>eep it as is</w:t>
            </w:r>
          </w:p>
        </w:tc>
      </w:tr>
      <w:tr w:rsidR="00DA7704" w14:paraId="509D4C7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38481B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0D703CD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Q2-1: No</w:t>
            </w:r>
          </w:p>
          <w:p w14:paraId="25DAE04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Q2-2: Optional</w:t>
            </w:r>
          </w:p>
        </w:tc>
        <w:tc>
          <w:tcPr>
            <w:tcW w:w="7200" w:type="dxa"/>
            <w:tcBorders>
              <w:top w:val="single" w:sz="4" w:space="0" w:color="auto"/>
              <w:left w:val="single" w:sz="4" w:space="0" w:color="auto"/>
              <w:bottom w:val="single" w:sz="4" w:space="0" w:color="auto"/>
              <w:right w:val="single" w:sz="4" w:space="0" w:color="auto"/>
            </w:tcBorders>
          </w:tcPr>
          <w:p w14:paraId="58DA7A9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Same view with CATT</w:t>
            </w:r>
          </w:p>
        </w:tc>
      </w:tr>
      <w:tr w:rsidR="00DA7704" w14:paraId="514800DF" w14:textId="77777777">
        <w:trPr>
          <w:trHeight w:val="325"/>
        </w:trPr>
        <w:tc>
          <w:tcPr>
            <w:tcW w:w="1378" w:type="dxa"/>
          </w:tcPr>
          <w:p w14:paraId="3D8C579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4C09F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34D74025"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40C499AB" w14:textId="77777777" w:rsidR="00DA7704" w:rsidRDefault="00DA7704">
            <w:pPr>
              <w:spacing w:before="120" w:after="0"/>
              <w:rPr>
                <w:rFonts w:ascii="Times New Roman" w:eastAsia="MS ??" w:hAnsi="Times New Roman" w:cs="Times New Roman"/>
                <w:sz w:val="20"/>
                <w:szCs w:val="20"/>
                <w:lang w:val="en-GB" w:eastAsia="zh-CN"/>
              </w:rPr>
            </w:pPr>
          </w:p>
        </w:tc>
      </w:tr>
    </w:tbl>
    <w:p w14:paraId="52565D5A"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56482694"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Q2-1: 5 companies replied “no”, 3 companies replied “yes”.</w:t>
      </w:r>
    </w:p>
    <w:p w14:paraId="28FCD049"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Q2-2: the answers mirror the replies to Q2-1 – companies that answered “yes” and “no” in Q2-1, in Q2-2 replied “mandatory” and “optional”, respectively.</w:t>
      </w:r>
    </w:p>
    <w:p w14:paraId="05CF562B"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The Moderator will put for discussion a WA in the second round, to test if a consensus is possible.</w:t>
      </w:r>
    </w:p>
    <w:p w14:paraId="7E295455" w14:textId="77777777" w:rsidR="00DA7704" w:rsidRDefault="00C431CD">
      <w:pPr>
        <w:pStyle w:val="Heading2"/>
        <w:rPr>
          <w:rFonts w:ascii="Arial" w:hAnsi="Arial" w:cs="Arial"/>
          <w:lang w:val="en-GB"/>
        </w:rPr>
      </w:pPr>
      <w:r>
        <w:rPr>
          <w:rFonts w:ascii="Arial" w:hAnsi="Arial" w:cs="Arial"/>
          <w:lang w:val="en-GB"/>
        </w:rPr>
        <w:t>Separate sending of regular QoE and RVQoE reports</w:t>
      </w:r>
    </w:p>
    <w:p w14:paraId="1295413C"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The RAN2 LS also asks the following question:</w:t>
      </w:r>
    </w:p>
    <w:p w14:paraId="02F4541F"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724BDB03" w14:textId="77777777" w:rsidR="00DA7704" w:rsidRDefault="00C431CD">
      <w:pPr>
        <w:rPr>
          <w:rFonts w:ascii="Times New Roman" w:hAnsi="Times New Roman" w:cs="Times New Roman"/>
          <w:color w:val="000000"/>
          <w:sz w:val="20"/>
          <w:szCs w:val="20"/>
          <w:lang w:val="en-GB"/>
        </w:rPr>
      </w:pPr>
      <w:r>
        <w:rPr>
          <w:rFonts w:ascii="Times New Roman" w:hAnsi="Times New Roman" w:cs="Times New Roman"/>
          <w:sz w:val="20"/>
          <w:szCs w:val="20"/>
          <w:lang w:val="en-GB"/>
        </w:rPr>
        <w:t xml:space="preserve">Papers </w:t>
      </w:r>
      <w:r>
        <w:rPr>
          <w:rFonts w:ascii="Times New Roman" w:hAnsi="Times New Roman" w:cs="Times New Roman"/>
          <w:b/>
          <w:bCs/>
          <w:color w:val="000000"/>
          <w:sz w:val="20"/>
          <w:szCs w:val="20"/>
          <w:lang w:val="en-GB"/>
        </w:rPr>
        <w:t xml:space="preserve">[Nok4559] </w:t>
      </w:r>
      <w:r>
        <w:rPr>
          <w:rFonts w:ascii="Times New Roman" w:hAnsi="Times New Roman" w:cs="Times New Roman"/>
          <w:color w:val="000000"/>
          <w:sz w:val="20"/>
          <w:szCs w:val="20"/>
          <w:lang w:val="en-GB"/>
        </w:rPr>
        <w:t xml:space="preserve">and </w:t>
      </w:r>
      <w:r>
        <w:rPr>
          <w:rFonts w:ascii="Times New Roman" w:hAnsi="Times New Roman" w:cs="Times New Roman"/>
          <w:b/>
          <w:bCs/>
          <w:color w:val="000000"/>
          <w:sz w:val="20"/>
          <w:szCs w:val="20"/>
          <w:lang w:val="en-GB"/>
        </w:rPr>
        <w:t xml:space="preserve">[Eri4365] </w:t>
      </w:r>
      <w:r>
        <w:rPr>
          <w:rFonts w:ascii="Times New Roman" w:hAnsi="Times New Roman" w:cs="Times New Roman"/>
          <w:color w:val="000000"/>
          <w:sz w:val="20"/>
          <w:szCs w:val="20"/>
          <w:lang w:val="en-GB"/>
        </w:rPr>
        <w:t>refer to the following agreement from RAN3#115-e:</w:t>
      </w:r>
    </w:p>
    <w:p w14:paraId="631DF34F" w14:textId="77777777" w:rsidR="00DA7704" w:rsidRDefault="00C431CD">
      <w:pPr>
        <w:ind w:left="567"/>
        <w:rPr>
          <w:rFonts w:ascii="Times New Roman" w:hAnsi="Times New Roman" w:cs="Times New Roman"/>
          <w:sz w:val="20"/>
          <w:szCs w:val="20"/>
          <w:lang w:val="en-GB"/>
        </w:rPr>
      </w:pPr>
      <w:r>
        <w:rPr>
          <w:rFonts w:ascii="Arial" w:eastAsia="DengXian" w:hAnsi="Arial" w:cs="Arial"/>
          <w:b/>
          <w:color w:val="008000"/>
          <w:sz w:val="18"/>
        </w:rPr>
        <w:t>If the reporting periodicity of RVQoE is not explicitly indicated in the RVQoE configuration, RVQoE reports can be sent together with the legacy QoE reports</w:t>
      </w:r>
      <w:r>
        <w:rPr>
          <w:rFonts w:eastAsia="DengXian" w:cs="Calibri"/>
          <w:b/>
          <w:color w:val="008000"/>
          <w:sz w:val="18"/>
        </w:rPr>
        <w:t>.</w:t>
      </w:r>
    </w:p>
    <w:p w14:paraId="0F0BF9C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“can be” in the above agreement implies that the indication of separate periodicity for RVQoE is optional in RRC signalling.</w:t>
      </w:r>
    </w:p>
    <w:p w14:paraId="597A76EC"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Inform RAN2 that the RAN3 agreements imply that the indication of separate periodicity for RVQoE should be optional in RRC signalling.</w:t>
      </w:r>
    </w:p>
    <w:p w14:paraId="4A3132F2"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Q3: Do you agree to the above proposal?</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19"/>
        <w:gridCol w:w="7513"/>
      </w:tblGrid>
      <w:tr w:rsidR="00DA7704" w14:paraId="5C3ED95B" w14:textId="77777777">
        <w:trPr>
          <w:trHeight w:val="325"/>
        </w:trPr>
        <w:tc>
          <w:tcPr>
            <w:tcW w:w="1378" w:type="dxa"/>
          </w:tcPr>
          <w:p w14:paraId="5C7C476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
          <w:p w14:paraId="26CB296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513" w:type="dxa"/>
          </w:tcPr>
          <w:p w14:paraId="5B014EF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507447BD" w14:textId="77777777">
        <w:trPr>
          <w:trHeight w:val="357"/>
        </w:trPr>
        <w:tc>
          <w:tcPr>
            <w:tcW w:w="1378" w:type="dxa"/>
          </w:tcPr>
          <w:p w14:paraId="722555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919" w:type="dxa"/>
          </w:tcPr>
          <w:p w14:paraId="1D4AD027"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513" w:type="dxa"/>
          </w:tcPr>
          <w:p w14:paraId="5A20196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Upon receiving the periodicity for RVQoE reporting from the RAN, the UE AS will inform the App layer via AT command about this periodicity and the App layer will deliver the RVQoE reports to the UE AS accordingly. </w:t>
            </w:r>
          </w:p>
          <w:p w14:paraId="1C7B1E7F"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Meanwhile, the UE App layer will feed the UE AS layer with regular QoE report containers at the periodicity for regular QoE reporting, indicated in the regular QoE configuration container. </w:t>
            </w:r>
          </w:p>
          <w:p w14:paraId="3A4DA9B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If the periodicity for regular QoE reporting matches the periodicity required for RVQoE reporting, the UE AS can choose to send the regular QoE and RVQoE reports together. If not, they can be sent separately and at different occasions, but this decision is up to UE implementation.</w:t>
            </w:r>
          </w:p>
        </w:tc>
      </w:tr>
      <w:tr w:rsidR="00DA7704" w14:paraId="1AC41940" w14:textId="77777777">
        <w:trPr>
          <w:trHeight w:val="342"/>
        </w:trPr>
        <w:tc>
          <w:tcPr>
            <w:tcW w:w="1378" w:type="dxa"/>
          </w:tcPr>
          <w:p w14:paraId="17F1065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919" w:type="dxa"/>
          </w:tcPr>
          <w:p w14:paraId="148CE1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513" w:type="dxa"/>
          </w:tcPr>
          <w:p w14:paraId="7BB646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tc>
      </w:tr>
      <w:tr w:rsidR="00DA7704" w14:paraId="07A63A46" w14:textId="77777777">
        <w:trPr>
          <w:trHeight w:val="325"/>
        </w:trPr>
        <w:tc>
          <w:tcPr>
            <w:tcW w:w="1378" w:type="dxa"/>
          </w:tcPr>
          <w:p w14:paraId="7009716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
          <w:p w14:paraId="355095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w:t>
            </w:r>
          </w:p>
        </w:tc>
        <w:tc>
          <w:tcPr>
            <w:tcW w:w="7513" w:type="dxa"/>
          </w:tcPr>
          <w:p w14:paraId="6F8CA64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generally agree E///’s comments and agree ‘RAN3 agreements imply that the indication of separate periodicity for RVQoE should be optional in RRC signalling’. </w:t>
            </w:r>
          </w:p>
          <w:p w14:paraId="01D319D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However, does this fully solve RAN2’s concern? In our understanding, the comment of E/// clarifies the scenario where the periodicity for RAN visible QoE is configured. How about the scenario that no periodicity for RAN visible QoE is configured? In this case, it is by default, that RAN visible QoE results should be reported together with regular QoE reporting. APP layer will send report of legacy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nd RAN visible QoE measurements together to UE AS layer. Therefore, we do not really understand the motivation of CR [4367], as the prerequisite of the sentence is “</w:t>
            </w:r>
            <w:r>
              <w:rPr>
                <w:rFonts w:ascii="Times New Roman" w:eastAsiaTheme="minorEastAsia" w:hAnsi="Times New Roman" w:cs="Times New Roman"/>
                <w:b/>
                <w:color w:val="000000" w:themeColor="text1"/>
                <w:sz w:val="20"/>
                <w:szCs w:val="20"/>
                <w:lang w:val="en-GB" w:eastAsia="zh-CN"/>
              </w:rPr>
              <w:t>If there is no reporting periodicity defined in the RAN visible QoE configuration</w:t>
            </w:r>
            <w:r>
              <w:rPr>
                <w:rFonts w:ascii="Times New Roman" w:eastAsiaTheme="minorEastAsia" w:hAnsi="Times New Roman" w:cs="Times New Roman"/>
                <w:sz w:val="20"/>
                <w:szCs w:val="20"/>
                <w:lang w:val="en-GB" w:eastAsia="zh-CN"/>
              </w:rPr>
              <w:t>”. In this case, RAN visible QoE reports can only be sent together with the non-RAN visible QoE reports. If the wording changes from “are” to “can be”, for me, it seems like we are implying that RAN visible QoE report could be sent not with legacy report if no periodicity is defined, which is not true…</w:t>
            </w:r>
          </w:p>
          <w:p w14:paraId="1A92AA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To fully address RAN2’s concern, in the reply LS, we need to explain the motivation for specifying that RAN visible QoE reports should be sent together with the legacy QoE reports when no RVQoE specific periodicity is defined, and that is to achieve a simple and straightforward QoE report mechanism. </w:t>
            </w:r>
          </w:p>
        </w:tc>
      </w:tr>
      <w:tr w:rsidR="00DA7704" w14:paraId="4988830D" w14:textId="77777777">
        <w:trPr>
          <w:trHeight w:val="325"/>
        </w:trPr>
        <w:tc>
          <w:tcPr>
            <w:tcW w:w="1378" w:type="dxa"/>
          </w:tcPr>
          <w:p w14:paraId="0F163F6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919" w:type="dxa"/>
          </w:tcPr>
          <w:p w14:paraId="638A76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513" w:type="dxa"/>
          </w:tcPr>
          <w:p w14:paraId="51DEEC2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the proposal here may not answer RAN2’s question. </w:t>
            </w:r>
          </w:p>
          <w:p w14:paraId="7017109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RAN2’s concern is AS layer doesn’t know the reporting periodicity for legacy QoE report if there’s no explicit reporting</w:t>
            </w:r>
            <w:r>
              <w:t xml:space="preserve"> </w:t>
            </w:r>
            <w:r>
              <w:rPr>
                <w:rFonts w:ascii="Times New Roman" w:eastAsiaTheme="minorEastAsia" w:hAnsi="Times New Roman" w:cs="Times New Roman"/>
                <w:sz w:val="20"/>
                <w:szCs w:val="20"/>
                <w:lang w:val="en-GB" w:eastAsia="zh-CN"/>
              </w:rPr>
              <w:t xml:space="preserve">periodicity for RVQoE report. </w:t>
            </w:r>
          </w:p>
          <w:p w14:paraId="3FE4BBC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RAN3 should let RAN2 know in which scenario the gNB doesn’t configure the reporting periodicity for RVQoE, please note that gNB is not aware of the reporting periodicity for legacy QMC.</w:t>
            </w:r>
          </w:p>
          <w:p w14:paraId="4503FD2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Actually, in our understanding, there is no such scenario or such scenario may not work well, if gNB doesn’t configure reporting periodicity for RVQoE, at the same time, the reporting periodicity for legacy QMC is quite long or reporting happens when the session end, we don’t think the RVQoE report is useful for RAN with such a long duration. </w:t>
            </w:r>
          </w:p>
          <w:p w14:paraId="4514C9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general, we think the reporting periodicity for RVQoE should be mandatory.</w:t>
            </w:r>
          </w:p>
        </w:tc>
      </w:tr>
      <w:tr w:rsidR="00DA7704" w14:paraId="605B0C23" w14:textId="77777777">
        <w:trPr>
          <w:trHeight w:val="342"/>
        </w:trPr>
        <w:tc>
          <w:tcPr>
            <w:tcW w:w="1378" w:type="dxa"/>
          </w:tcPr>
          <w:p w14:paraId="151867D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919" w:type="dxa"/>
          </w:tcPr>
          <w:p w14:paraId="6454359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513" w:type="dxa"/>
          </w:tcPr>
          <w:p w14:paraId="0D999C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agree to keep the periodicity for RVQoE as optional in RRC signalling.</w:t>
            </w:r>
          </w:p>
          <w:p w14:paraId="591D88F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4599] have given the answer of the motivation. </w:t>
            </w:r>
          </w:p>
          <w:p w14:paraId="5D1C7B4B" w14:textId="77777777" w:rsidR="00DA7704" w:rsidRDefault="00DA7704">
            <w:pPr>
              <w:spacing w:before="120" w:after="0"/>
              <w:rPr>
                <w:rFonts w:ascii="Times New Roman" w:eastAsiaTheme="minorEastAsia" w:hAnsi="Times New Roman" w:cs="Times New Roman"/>
                <w:sz w:val="20"/>
                <w:szCs w:val="20"/>
                <w:lang w:val="en-GB" w:eastAsia="zh-CN"/>
              </w:rPr>
            </w:pPr>
          </w:p>
          <w:p w14:paraId="28B2C6F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More explanation about the below agreements should be given:” </w:t>
            </w:r>
            <w:r>
              <w:rPr>
                <w:rFonts w:ascii="Times New Roman" w:eastAsiaTheme="minorEastAsia" w:hAnsi="Times New Roman" w:cs="Times New Roman"/>
                <w:b/>
                <w:bCs/>
                <w:color w:val="00B050"/>
                <w:sz w:val="20"/>
                <w:szCs w:val="20"/>
                <w:lang w:val="en-GB" w:eastAsia="zh-CN"/>
              </w:rPr>
              <w:t>If the reporting periodicity of RVQoE is not explicitly indicated in the RVQoE configuration, RVQoE reports can be sent together with the legacy QoE reports</w:t>
            </w:r>
            <w:r>
              <w:rPr>
                <w:rFonts w:ascii="Times New Roman" w:eastAsiaTheme="minorEastAsia" w:hAnsi="Times New Roman" w:cs="Times New Roman"/>
                <w:sz w:val="20"/>
                <w:szCs w:val="20"/>
                <w:lang w:val="en-GB" w:eastAsia="zh-CN"/>
              </w:rPr>
              <w:t>.”</w:t>
            </w:r>
          </w:p>
          <w:p w14:paraId="6D888A1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One of RAN2’s question is that is the requirement that RAN visible QoE reports should be sent together with the legacy QoE reports intended for the application layer or AS layer?</w:t>
            </w:r>
          </w:p>
          <w:p w14:paraId="2A2748D6"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my understanding the answer is that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requirement is intended for the application layer.</w:t>
            </w:r>
          </w:p>
          <w:p w14:paraId="40220C8A"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S</w:t>
            </w:r>
            <w:r>
              <w:rPr>
                <w:rFonts w:ascii="Times New Roman" w:eastAsiaTheme="minorEastAsia" w:hAnsi="Times New Roman" w:cs="Times New Roman"/>
                <w:sz w:val="20"/>
                <w:szCs w:val="20"/>
                <w:lang w:val="en-GB" w:eastAsia="zh-CN"/>
              </w:rPr>
              <w:t xml:space="preserve">ince the term </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an be</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is used in the agreement, it means the UE application layer can sent the legacy QoE report and the RVQoE report </w:t>
            </w:r>
            <w:r>
              <w:rPr>
                <w:rFonts w:ascii="Times New Roman" w:eastAsiaTheme="minorEastAsia" w:hAnsi="Times New Roman" w:cs="Times New Roman" w:hint="eastAsia"/>
                <w:sz w:val="20"/>
                <w:szCs w:val="20"/>
                <w:lang w:val="en-GB" w:eastAsia="zh-CN"/>
              </w:rPr>
              <w:t>together</w:t>
            </w:r>
            <w:r>
              <w:rPr>
                <w:rFonts w:ascii="Times New Roman" w:eastAsiaTheme="minorEastAsia" w:hAnsi="Times New Roman" w:cs="Times New Roman"/>
                <w:sz w:val="20"/>
                <w:szCs w:val="20"/>
                <w:lang w:val="en-GB" w:eastAsia="zh-CN"/>
              </w:rPr>
              <w:t xml:space="preserve"> and </w:t>
            </w:r>
            <w:r>
              <w:rPr>
                <w:rFonts w:ascii="Times New Roman" w:eastAsiaTheme="minorEastAsia" w:hAnsi="Times New Roman" w:cs="Times New Roman"/>
                <w:sz w:val="20"/>
                <w:szCs w:val="20"/>
                <w:highlight w:val="yellow"/>
                <w:lang w:val="en-GB" w:eastAsia="zh-CN"/>
              </w:rPr>
              <w:t xml:space="preserve">it can only send the legacy </w:t>
            </w:r>
            <w:r>
              <w:rPr>
                <w:rFonts w:ascii="Times New Roman" w:eastAsiaTheme="minorEastAsia" w:hAnsi="Times New Roman" w:cs="Times New Roman" w:hint="eastAsia"/>
                <w:sz w:val="20"/>
                <w:szCs w:val="20"/>
                <w:highlight w:val="yellow"/>
                <w:lang w:val="en-GB" w:eastAsia="zh-CN"/>
              </w:rPr>
              <w:t>QoE</w:t>
            </w:r>
            <w:r>
              <w:rPr>
                <w:rFonts w:ascii="Times New Roman" w:eastAsiaTheme="minorEastAsia" w:hAnsi="Times New Roman" w:cs="Times New Roman"/>
                <w:sz w:val="20"/>
                <w:szCs w:val="20"/>
                <w:highlight w:val="yellow"/>
                <w:lang w:val="en-GB" w:eastAsia="zh-CN"/>
              </w:rPr>
              <w:t xml:space="preserve"> report without the RVQoE report. It’s up to the UE implementation.</w:t>
            </w:r>
            <w:r>
              <w:rPr>
                <w:rFonts w:ascii="Times New Roman" w:eastAsiaTheme="minorEastAsia" w:hAnsi="Times New Roman" w:cs="Times New Roman"/>
                <w:sz w:val="20"/>
                <w:szCs w:val="20"/>
                <w:lang w:val="en-GB" w:eastAsia="zh-CN"/>
              </w:rPr>
              <w:t xml:space="preserve"> </w:t>
            </w:r>
          </w:p>
          <w:p w14:paraId="7547D8F4"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Is</w:t>
            </w:r>
            <w:r>
              <w:rPr>
                <w:rFonts w:ascii="Times New Roman" w:eastAsiaTheme="minorEastAsia" w:hAnsi="Times New Roman" w:cs="Times New Roman"/>
                <w:sz w:val="20"/>
                <w:szCs w:val="20"/>
                <w:lang w:val="en-GB" w:eastAsia="zh-CN"/>
              </w:rPr>
              <w:t xml:space="preserve"> it right?</w:t>
            </w:r>
          </w:p>
        </w:tc>
      </w:tr>
      <w:tr w:rsidR="00DA7704" w14:paraId="5926C38E" w14:textId="77777777">
        <w:trPr>
          <w:trHeight w:val="342"/>
        </w:trPr>
        <w:tc>
          <w:tcPr>
            <w:tcW w:w="1378" w:type="dxa"/>
          </w:tcPr>
          <w:p w14:paraId="1FED92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CATT</w:t>
            </w:r>
          </w:p>
        </w:tc>
        <w:tc>
          <w:tcPr>
            <w:tcW w:w="919" w:type="dxa"/>
          </w:tcPr>
          <w:p w14:paraId="781B098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Pr>
          <w:p w14:paraId="40495AA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may inform RAN2 our real intention: </w:t>
            </w: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RV-QOE </w:t>
            </w:r>
            <w:r>
              <w:rPr>
                <w:rFonts w:ascii="Times New Roman" w:eastAsiaTheme="minorEastAsia" w:hAnsi="Times New Roman" w:cs="Times New Roman"/>
                <w:sz w:val="20"/>
                <w:szCs w:val="20"/>
                <w:lang w:eastAsia="zh-CN"/>
              </w:rPr>
              <w:t>report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can be</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sent </w:t>
            </w:r>
            <w:r>
              <w:rPr>
                <w:rFonts w:ascii="Times New Roman" w:eastAsiaTheme="minorEastAsia" w:hAnsi="Times New Roman" w:cs="Times New Roman"/>
                <w:sz w:val="20"/>
                <w:szCs w:val="20"/>
                <w:lang w:eastAsia="zh-CN"/>
              </w:rPr>
              <w:t>together</w:t>
            </w:r>
            <w:r>
              <w:rPr>
                <w:rFonts w:ascii="Times New Roman" w:eastAsiaTheme="minorEastAsia" w:hAnsi="Times New Roman" w:cs="Times New Roman" w:hint="eastAsia"/>
                <w:sz w:val="20"/>
                <w:szCs w:val="20"/>
                <w:lang w:eastAsia="zh-CN"/>
              </w:rPr>
              <w:t xml:space="preserve"> with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report.  RAN2 concern is whether the RVQoE report </w:t>
            </w:r>
            <w:r>
              <w:rPr>
                <w:rFonts w:ascii="Times New Roman" w:eastAsiaTheme="minorEastAsia" w:hAnsi="Times New Roman" w:cs="Times New Roman"/>
                <w:sz w:val="20"/>
                <w:szCs w:val="20"/>
                <w:lang w:eastAsia="zh-CN"/>
              </w:rPr>
              <w:t>can</w:t>
            </w:r>
            <w:r>
              <w:rPr>
                <w:rFonts w:ascii="Times New Roman" w:eastAsiaTheme="minorEastAsia" w:hAnsi="Times New Roman" w:cs="Times New Roman" w:hint="eastAsia"/>
                <w:sz w:val="20"/>
                <w:szCs w:val="20"/>
                <w:lang w:eastAsia="zh-CN"/>
              </w:rPr>
              <w:t xml:space="preserve"> be sent </w:t>
            </w:r>
            <w:r>
              <w:rPr>
                <w:rFonts w:ascii="Times New Roman" w:eastAsiaTheme="minorEastAsia" w:hAnsi="Times New Roman" w:cs="Times New Roman"/>
                <w:sz w:val="20"/>
                <w:szCs w:val="20"/>
                <w:lang w:eastAsia="zh-CN"/>
              </w:rPr>
              <w:t>separately</w:t>
            </w:r>
          </w:p>
        </w:tc>
      </w:tr>
      <w:tr w:rsidR="00DA7704" w14:paraId="615E5EF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28FC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919" w:type="dxa"/>
            <w:tcBorders>
              <w:top w:val="single" w:sz="4" w:space="0" w:color="auto"/>
              <w:left w:val="single" w:sz="4" w:space="0" w:color="auto"/>
              <w:bottom w:val="single" w:sz="4" w:space="0" w:color="auto"/>
              <w:right w:val="single" w:sz="4" w:space="0" w:color="auto"/>
            </w:tcBorders>
          </w:tcPr>
          <w:p w14:paraId="225C18EF"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Borders>
              <w:top w:val="single" w:sz="4" w:space="0" w:color="auto"/>
              <w:left w:val="single" w:sz="4" w:space="0" w:color="auto"/>
              <w:bottom w:val="single" w:sz="4" w:space="0" w:color="auto"/>
              <w:right w:val="single" w:sz="4" w:space="0" w:color="auto"/>
            </w:tcBorders>
          </w:tcPr>
          <w:p w14:paraId="423558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that reporting periodicity is optional.</w:t>
            </w:r>
          </w:p>
          <w:p w14:paraId="138197A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RAN2 is a bit confused about how reporting periodicity works during the configuration and reporting of RVQoE. Our suggestion is to further explain in the reply LS about the two cases:</w:t>
            </w:r>
          </w:p>
          <w:p w14:paraId="6DA433C4"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Reporting periodicity is included in the RVQoE configuration:</w:t>
            </w:r>
          </w:p>
          <w:p w14:paraId="4F62CC5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APP layer generates RVQoE reports with this reporting periodicity and let AS layer send the RVQoE report to RAN.</w:t>
            </w:r>
          </w:p>
          <w:p w14:paraId="1C45A289"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Reporting periodicity is not included in the RVQoE configuration: </w:t>
            </w:r>
          </w:p>
          <w:p w14:paraId="36792A7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APP layer can directly pack the QoE report container and RVQoE report together and let AS layer transfer to the NG-RAN node.</w:t>
            </w:r>
          </w:p>
        </w:tc>
      </w:tr>
      <w:tr w:rsidR="00DA7704" w14:paraId="2FEFBAB9" w14:textId="77777777">
        <w:trPr>
          <w:trHeight w:val="325"/>
        </w:trPr>
        <w:tc>
          <w:tcPr>
            <w:tcW w:w="1378" w:type="dxa"/>
          </w:tcPr>
          <w:p w14:paraId="7C6DCD6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919" w:type="dxa"/>
          </w:tcPr>
          <w:p w14:paraId="1B6D8737"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Yes</w:t>
            </w:r>
          </w:p>
        </w:tc>
        <w:tc>
          <w:tcPr>
            <w:tcW w:w="7513" w:type="dxa"/>
          </w:tcPr>
          <w:p w14:paraId="53E915A2" w14:textId="77777777" w:rsidR="00DA7704" w:rsidRDefault="00DA7704">
            <w:pPr>
              <w:spacing w:before="120" w:after="0"/>
              <w:rPr>
                <w:rFonts w:ascii="Times New Roman" w:eastAsia="MS ??" w:hAnsi="Times New Roman" w:cs="Times New Roman"/>
                <w:sz w:val="20"/>
                <w:szCs w:val="20"/>
                <w:lang w:val="en-GB" w:eastAsia="zh-CN"/>
              </w:rPr>
            </w:pPr>
          </w:p>
        </w:tc>
      </w:tr>
    </w:tbl>
    <w:p w14:paraId="1ADB2101"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38DD603"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7 out of 8 companies support the proposal, and the proposal will be put up for agreement. However, the work on Q3 is not done yet, and the additional issues that arise from company replies will be discussed in the second round. The plan is to explain to RAN2 our view on the circumstances under which the joint reporting works.</w:t>
      </w:r>
    </w:p>
    <w:sectPr w:rsidR="00DA7704">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2BD96" w14:textId="77777777" w:rsidR="00C431CD" w:rsidRDefault="00C431CD">
      <w:pPr>
        <w:spacing w:after="0" w:line="240" w:lineRule="auto"/>
      </w:pPr>
      <w:r>
        <w:separator/>
      </w:r>
    </w:p>
  </w:endnote>
  <w:endnote w:type="continuationSeparator" w:id="0">
    <w:p w14:paraId="488CDAEE" w14:textId="77777777" w:rsidR="00C431CD" w:rsidRDefault="00C43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5D68" w14:textId="77777777" w:rsidR="00DA7704" w:rsidRDefault="00C431CD">
    <w:pPr>
      <w:pStyle w:val="Footer"/>
      <w:jc w:val="center"/>
    </w:pPr>
    <w:r>
      <w:fldChar w:fldCharType="begin"/>
    </w:r>
    <w:r>
      <w:instrText xml:space="preserve"> PAGE   \* MERGEFORMAT </w:instrText>
    </w:r>
    <w:r>
      <w:fldChar w:fldCharType="separate"/>
    </w:r>
    <w:r>
      <w:rPr>
        <w:lang w:val="sv-SE" w:eastAsia="sv-SE"/>
      </w:rPr>
      <w:t>11</w:t>
    </w:r>
    <w:r>
      <w:rPr>
        <w:lang w:val="sv-SE" w:eastAsia="sv-SE"/>
      </w:rPr>
      <w:fldChar w:fldCharType="end"/>
    </w:r>
  </w:p>
  <w:p w14:paraId="61494B0D" w14:textId="77777777" w:rsidR="00DA7704" w:rsidRDefault="00DA7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7DF2A" w14:textId="77777777" w:rsidR="00C431CD" w:rsidRDefault="00C431CD">
      <w:pPr>
        <w:spacing w:after="0" w:line="240" w:lineRule="auto"/>
      </w:pPr>
      <w:r>
        <w:separator/>
      </w:r>
    </w:p>
  </w:footnote>
  <w:footnote w:type="continuationSeparator" w:id="0">
    <w:p w14:paraId="20348EFC" w14:textId="77777777" w:rsidR="00C431CD" w:rsidRDefault="00C43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B79F05"/>
    <w:multiLevelType w:val="singleLevel"/>
    <w:tmpl w:val="B6B79F05"/>
    <w:lvl w:ilvl="0">
      <w:start w:val="1"/>
      <w:numFmt w:val="decimal"/>
      <w:suff w:val="space"/>
      <w:lvlText w:val="%1."/>
      <w:lvlJc w:val="left"/>
    </w:lvl>
  </w:abstractNum>
  <w:abstractNum w:abstractNumId="1" w15:restartNumberingAfterBreak="0">
    <w:nsid w:val="0E0E7224"/>
    <w:multiLevelType w:val="multilevel"/>
    <w:tmpl w:val="0E0E7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23618"/>
    <w:multiLevelType w:val="multilevel"/>
    <w:tmpl w:val="11923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4591901"/>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8F5304"/>
    <w:multiLevelType w:val="multilevel"/>
    <w:tmpl w:val="418F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167A4D"/>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DD1152B"/>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
  </w:num>
  <w:num w:numId="6">
    <w:abstractNumId w:val="10"/>
  </w:num>
  <w:num w:numId="7">
    <w:abstractNumId w:val="6"/>
  </w:num>
  <w:num w:numId="8">
    <w:abstractNumId w:val="2"/>
  </w:num>
  <w:num w:numId="9">
    <w:abstractNumId w:val="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286"/>
    <w:rsid w:val="00006BC3"/>
    <w:rsid w:val="00017822"/>
    <w:rsid w:val="0002059C"/>
    <w:rsid w:val="000208FA"/>
    <w:rsid w:val="0002255A"/>
    <w:rsid w:val="000266AB"/>
    <w:rsid w:val="000268D5"/>
    <w:rsid w:val="00026ED0"/>
    <w:rsid w:val="000277FF"/>
    <w:rsid w:val="000307C4"/>
    <w:rsid w:val="00034778"/>
    <w:rsid w:val="000417FF"/>
    <w:rsid w:val="00041BF4"/>
    <w:rsid w:val="00041DD2"/>
    <w:rsid w:val="00042129"/>
    <w:rsid w:val="000442DD"/>
    <w:rsid w:val="00052ABB"/>
    <w:rsid w:val="00054A52"/>
    <w:rsid w:val="00060260"/>
    <w:rsid w:val="000618C3"/>
    <w:rsid w:val="000626BD"/>
    <w:rsid w:val="00072805"/>
    <w:rsid w:val="00072F1C"/>
    <w:rsid w:val="00075C0F"/>
    <w:rsid w:val="00076F2D"/>
    <w:rsid w:val="000776AD"/>
    <w:rsid w:val="00080DBB"/>
    <w:rsid w:val="00082EAB"/>
    <w:rsid w:val="00084581"/>
    <w:rsid w:val="00091998"/>
    <w:rsid w:val="0009338D"/>
    <w:rsid w:val="00096278"/>
    <w:rsid w:val="000A319F"/>
    <w:rsid w:val="000A7190"/>
    <w:rsid w:val="000B0458"/>
    <w:rsid w:val="000B07D6"/>
    <w:rsid w:val="000B18C1"/>
    <w:rsid w:val="000B2E50"/>
    <w:rsid w:val="000B4A83"/>
    <w:rsid w:val="000B53D3"/>
    <w:rsid w:val="000B634B"/>
    <w:rsid w:val="000D0D5F"/>
    <w:rsid w:val="000D5C34"/>
    <w:rsid w:val="000D5C99"/>
    <w:rsid w:val="000D5CA2"/>
    <w:rsid w:val="000F2C4F"/>
    <w:rsid w:val="000F57E2"/>
    <w:rsid w:val="00101338"/>
    <w:rsid w:val="001015EE"/>
    <w:rsid w:val="00101A5A"/>
    <w:rsid w:val="00104509"/>
    <w:rsid w:val="00110B0F"/>
    <w:rsid w:val="00111A22"/>
    <w:rsid w:val="00115EA5"/>
    <w:rsid w:val="0011791F"/>
    <w:rsid w:val="00120701"/>
    <w:rsid w:val="001213A6"/>
    <w:rsid w:val="001226F6"/>
    <w:rsid w:val="00124222"/>
    <w:rsid w:val="001247E4"/>
    <w:rsid w:val="00124C61"/>
    <w:rsid w:val="001251A3"/>
    <w:rsid w:val="0012579B"/>
    <w:rsid w:val="00125A32"/>
    <w:rsid w:val="00133692"/>
    <w:rsid w:val="00133ED2"/>
    <w:rsid w:val="00140C32"/>
    <w:rsid w:val="00142844"/>
    <w:rsid w:val="00143C3C"/>
    <w:rsid w:val="00146824"/>
    <w:rsid w:val="00150677"/>
    <w:rsid w:val="001530F0"/>
    <w:rsid w:val="00153172"/>
    <w:rsid w:val="0015345D"/>
    <w:rsid w:val="0015348C"/>
    <w:rsid w:val="00160B1E"/>
    <w:rsid w:val="001612D6"/>
    <w:rsid w:val="0017098B"/>
    <w:rsid w:val="001805A6"/>
    <w:rsid w:val="0018095B"/>
    <w:rsid w:val="00181CD5"/>
    <w:rsid w:val="00182789"/>
    <w:rsid w:val="0018672F"/>
    <w:rsid w:val="0018702E"/>
    <w:rsid w:val="001907F5"/>
    <w:rsid w:val="00190807"/>
    <w:rsid w:val="00190F49"/>
    <w:rsid w:val="00193F99"/>
    <w:rsid w:val="00197FFC"/>
    <w:rsid w:val="001A3825"/>
    <w:rsid w:val="001A6916"/>
    <w:rsid w:val="001A728C"/>
    <w:rsid w:val="001A787D"/>
    <w:rsid w:val="001B1902"/>
    <w:rsid w:val="001B7C5D"/>
    <w:rsid w:val="001C461E"/>
    <w:rsid w:val="001C6732"/>
    <w:rsid w:val="001C6E79"/>
    <w:rsid w:val="001D0E81"/>
    <w:rsid w:val="001D10F2"/>
    <w:rsid w:val="001D1478"/>
    <w:rsid w:val="001D29C8"/>
    <w:rsid w:val="001D3108"/>
    <w:rsid w:val="001D6182"/>
    <w:rsid w:val="001D6A88"/>
    <w:rsid w:val="001D7460"/>
    <w:rsid w:val="001D785D"/>
    <w:rsid w:val="001E129E"/>
    <w:rsid w:val="001E4FFF"/>
    <w:rsid w:val="001E6F87"/>
    <w:rsid w:val="001F0F20"/>
    <w:rsid w:val="001F3292"/>
    <w:rsid w:val="00200405"/>
    <w:rsid w:val="00204DED"/>
    <w:rsid w:val="0020505E"/>
    <w:rsid w:val="00205EB5"/>
    <w:rsid w:val="00206CF3"/>
    <w:rsid w:val="002107BF"/>
    <w:rsid w:val="002110AB"/>
    <w:rsid w:val="002143A1"/>
    <w:rsid w:val="00214B12"/>
    <w:rsid w:val="00217F9A"/>
    <w:rsid w:val="00221DB7"/>
    <w:rsid w:val="0022426E"/>
    <w:rsid w:val="00226302"/>
    <w:rsid w:val="00234446"/>
    <w:rsid w:val="00234AC7"/>
    <w:rsid w:val="002352F0"/>
    <w:rsid w:val="00235451"/>
    <w:rsid w:val="0024157F"/>
    <w:rsid w:val="00241BFB"/>
    <w:rsid w:val="00243B52"/>
    <w:rsid w:val="002446A9"/>
    <w:rsid w:val="002468B5"/>
    <w:rsid w:val="002548F7"/>
    <w:rsid w:val="00256851"/>
    <w:rsid w:val="00256EDC"/>
    <w:rsid w:val="00260E1A"/>
    <w:rsid w:val="00260F2D"/>
    <w:rsid w:val="00261148"/>
    <w:rsid w:val="002635D6"/>
    <w:rsid w:val="00265E82"/>
    <w:rsid w:val="00266475"/>
    <w:rsid w:val="0027080B"/>
    <w:rsid w:val="00285AD9"/>
    <w:rsid w:val="00286F59"/>
    <w:rsid w:val="00294C5E"/>
    <w:rsid w:val="00295064"/>
    <w:rsid w:val="00295308"/>
    <w:rsid w:val="002A07E9"/>
    <w:rsid w:val="002A09FA"/>
    <w:rsid w:val="002A3818"/>
    <w:rsid w:val="002A70BC"/>
    <w:rsid w:val="002B011D"/>
    <w:rsid w:val="002B1473"/>
    <w:rsid w:val="002B5001"/>
    <w:rsid w:val="002C2FD7"/>
    <w:rsid w:val="002C7B21"/>
    <w:rsid w:val="002D01D6"/>
    <w:rsid w:val="002D1EC2"/>
    <w:rsid w:val="002D204E"/>
    <w:rsid w:val="002D21A7"/>
    <w:rsid w:val="002D6399"/>
    <w:rsid w:val="002E2F3F"/>
    <w:rsid w:val="002E4E10"/>
    <w:rsid w:val="002E5CDC"/>
    <w:rsid w:val="002E6433"/>
    <w:rsid w:val="002E6D03"/>
    <w:rsid w:val="002F43FA"/>
    <w:rsid w:val="002F5583"/>
    <w:rsid w:val="002F6C6D"/>
    <w:rsid w:val="002F732F"/>
    <w:rsid w:val="002F7A2E"/>
    <w:rsid w:val="00301DDC"/>
    <w:rsid w:val="00302415"/>
    <w:rsid w:val="003038DB"/>
    <w:rsid w:val="003043E8"/>
    <w:rsid w:val="003053BD"/>
    <w:rsid w:val="00305F70"/>
    <w:rsid w:val="00307A3B"/>
    <w:rsid w:val="003113D2"/>
    <w:rsid w:val="0031402F"/>
    <w:rsid w:val="00314F9F"/>
    <w:rsid w:val="0031525E"/>
    <w:rsid w:val="0032015A"/>
    <w:rsid w:val="003218FC"/>
    <w:rsid w:val="003223A3"/>
    <w:rsid w:val="0032429C"/>
    <w:rsid w:val="00326839"/>
    <w:rsid w:val="00330F0E"/>
    <w:rsid w:val="00333072"/>
    <w:rsid w:val="00334176"/>
    <w:rsid w:val="00341245"/>
    <w:rsid w:val="0034420F"/>
    <w:rsid w:val="00344BFA"/>
    <w:rsid w:val="003451C0"/>
    <w:rsid w:val="00345954"/>
    <w:rsid w:val="00346007"/>
    <w:rsid w:val="0034683D"/>
    <w:rsid w:val="00352912"/>
    <w:rsid w:val="003569D9"/>
    <w:rsid w:val="00357165"/>
    <w:rsid w:val="0036435C"/>
    <w:rsid w:val="0036626F"/>
    <w:rsid w:val="00366DE5"/>
    <w:rsid w:val="00367A6B"/>
    <w:rsid w:val="00367FD0"/>
    <w:rsid w:val="00370C77"/>
    <w:rsid w:val="0037354C"/>
    <w:rsid w:val="003739DF"/>
    <w:rsid w:val="00376A76"/>
    <w:rsid w:val="00376C2A"/>
    <w:rsid w:val="00376CC8"/>
    <w:rsid w:val="00380D42"/>
    <w:rsid w:val="00381E24"/>
    <w:rsid w:val="00384B0F"/>
    <w:rsid w:val="00384C72"/>
    <w:rsid w:val="003865A8"/>
    <w:rsid w:val="003907BC"/>
    <w:rsid w:val="00390D12"/>
    <w:rsid w:val="00390E77"/>
    <w:rsid w:val="00390FCC"/>
    <w:rsid w:val="00391A34"/>
    <w:rsid w:val="00393B5F"/>
    <w:rsid w:val="003A647A"/>
    <w:rsid w:val="003A6A33"/>
    <w:rsid w:val="003A79C0"/>
    <w:rsid w:val="003A7E37"/>
    <w:rsid w:val="003B08B1"/>
    <w:rsid w:val="003B1978"/>
    <w:rsid w:val="003B3180"/>
    <w:rsid w:val="003B42FF"/>
    <w:rsid w:val="003B7FEA"/>
    <w:rsid w:val="003C0EAB"/>
    <w:rsid w:val="003C3A75"/>
    <w:rsid w:val="003D2656"/>
    <w:rsid w:val="003D5315"/>
    <w:rsid w:val="003E3D64"/>
    <w:rsid w:val="003E7DE2"/>
    <w:rsid w:val="003E7EAD"/>
    <w:rsid w:val="003F097B"/>
    <w:rsid w:val="003F09D8"/>
    <w:rsid w:val="003F0E5F"/>
    <w:rsid w:val="003F2488"/>
    <w:rsid w:val="003F3798"/>
    <w:rsid w:val="003F49AB"/>
    <w:rsid w:val="003F7E18"/>
    <w:rsid w:val="0040209F"/>
    <w:rsid w:val="0040216A"/>
    <w:rsid w:val="004042D3"/>
    <w:rsid w:val="0040606F"/>
    <w:rsid w:val="004104A1"/>
    <w:rsid w:val="00415FBB"/>
    <w:rsid w:val="00421FD1"/>
    <w:rsid w:val="00423477"/>
    <w:rsid w:val="0042376F"/>
    <w:rsid w:val="0042602F"/>
    <w:rsid w:val="00427CFC"/>
    <w:rsid w:val="00430E05"/>
    <w:rsid w:val="00433CE8"/>
    <w:rsid w:val="00437E19"/>
    <w:rsid w:val="004464E6"/>
    <w:rsid w:val="00446503"/>
    <w:rsid w:val="0044727B"/>
    <w:rsid w:val="004474C2"/>
    <w:rsid w:val="00447A50"/>
    <w:rsid w:val="004532F5"/>
    <w:rsid w:val="00454FC1"/>
    <w:rsid w:val="0045558F"/>
    <w:rsid w:val="004572B6"/>
    <w:rsid w:val="00465302"/>
    <w:rsid w:val="00466623"/>
    <w:rsid w:val="00467E0C"/>
    <w:rsid w:val="00471C1F"/>
    <w:rsid w:val="00476265"/>
    <w:rsid w:val="004764B4"/>
    <w:rsid w:val="00490425"/>
    <w:rsid w:val="00490877"/>
    <w:rsid w:val="00490D2F"/>
    <w:rsid w:val="004918A1"/>
    <w:rsid w:val="00492AF5"/>
    <w:rsid w:val="00492B73"/>
    <w:rsid w:val="0049317C"/>
    <w:rsid w:val="0049346F"/>
    <w:rsid w:val="004970F8"/>
    <w:rsid w:val="004A1388"/>
    <w:rsid w:val="004A1F62"/>
    <w:rsid w:val="004A3888"/>
    <w:rsid w:val="004A4B9F"/>
    <w:rsid w:val="004A7B2B"/>
    <w:rsid w:val="004B0F47"/>
    <w:rsid w:val="004B1782"/>
    <w:rsid w:val="004B2285"/>
    <w:rsid w:val="004B3809"/>
    <w:rsid w:val="004B380C"/>
    <w:rsid w:val="004C0B18"/>
    <w:rsid w:val="004C31EF"/>
    <w:rsid w:val="004C7331"/>
    <w:rsid w:val="004D103E"/>
    <w:rsid w:val="004D20AD"/>
    <w:rsid w:val="004D361F"/>
    <w:rsid w:val="004D5531"/>
    <w:rsid w:val="004E0C2D"/>
    <w:rsid w:val="004F507B"/>
    <w:rsid w:val="004F55BD"/>
    <w:rsid w:val="00500068"/>
    <w:rsid w:val="00507D9E"/>
    <w:rsid w:val="005119F9"/>
    <w:rsid w:val="00512281"/>
    <w:rsid w:val="00513590"/>
    <w:rsid w:val="00513D12"/>
    <w:rsid w:val="00514430"/>
    <w:rsid w:val="005178BE"/>
    <w:rsid w:val="00520911"/>
    <w:rsid w:val="0052183A"/>
    <w:rsid w:val="00521C01"/>
    <w:rsid w:val="00521C55"/>
    <w:rsid w:val="00523D81"/>
    <w:rsid w:val="005313B4"/>
    <w:rsid w:val="0053246D"/>
    <w:rsid w:val="005339DC"/>
    <w:rsid w:val="00540E45"/>
    <w:rsid w:val="005430F0"/>
    <w:rsid w:val="00546E9F"/>
    <w:rsid w:val="005473A3"/>
    <w:rsid w:val="0055518C"/>
    <w:rsid w:val="005609A6"/>
    <w:rsid w:val="00564CC5"/>
    <w:rsid w:val="005657D6"/>
    <w:rsid w:val="00566BD6"/>
    <w:rsid w:val="00567835"/>
    <w:rsid w:val="00570071"/>
    <w:rsid w:val="00570698"/>
    <w:rsid w:val="00574EEA"/>
    <w:rsid w:val="005777E1"/>
    <w:rsid w:val="00577BE0"/>
    <w:rsid w:val="005801B1"/>
    <w:rsid w:val="00583F50"/>
    <w:rsid w:val="0058679D"/>
    <w:rsid w:val="00587219"/>
    <w:rsid w:val="00597348"/>
    <w:rsid w:val="005A0380"/>
    <w:rsid w:val="005A4A66"/>
    <w:rsid w:val="005A59D9"/>
    <w:rsid w:val="005B1B25"/>
    <w:rsid w:val="005B333B"/>
    <w:rsid w:val="005B68AA"/>
    <w:rsid w:val="005C4877"/>
    <w:rsid w:val="005C6D87"/>
    <w:rsid w:val="005D1F16"/>
    <w:rsid w:val="005D42AD"/>
    <w:rsid w:val="005D4C54"/>
    <w:rsid w:val="005D6E76"/>
    <w:rsid w:val="005D75D4"/>
    <w:rsid w:val="005E06F8"/>
    <w:rsid w:val="005E082C"/>
    <w:rsid w:val="005E17A9"/>
    <w:rsid w:val="005E189B"/>
    <w:rsid w:val="005F413E"/>
    <w:rsid w:val="005F57EE"/>
    <w:rsid w:val="005F7AFB"/>
    <w:rsid w:val="00602483"/>
    <w:rsid w:val="00610268"/>
    <w:rsid w:val="006171AA"/>
    <w:rsid w:val="006228E9"/>
    <w:rsid w:val="0062432E"/>
    <w:rsid w:val="00624465"/>
    <w:rsid w:val="00624B95"/>
    <w:rsid w:val="0062518C"/>
    <w:rsid w:val="006266A9"/>
    <w:rsid w:val="006270E6"/>
    <w:rsid w:val="0063001C"/>
    <w:rsid w:val="00630364"/>
    <w:rsid w:val="00635690"/>
    <w:rsid w:val="00637AC0"/>
    <w:rsid w:val="00642ABB"/>
    <w:rsid w:val="006458E0"/>
    <w:rsid w:val="00646F6D"/>
    <w:rsid w:val="0064718D"/>
    <w:rsid w:val="0065160D"/>
    <w:rsid w:val="00652531"/>
    <w:rsid w:val="00652A18"/>
    <w:rsid w:val="00652D7E"/>
    <w:rsid w:val="00652F67"/>
    <w:rsid w:val="0065508C"/>
    <w:rsid w:val="0066001B"/>
    <w:rsid w:val="00660DA2"/>
    <w:rsid w:val="00663E72"/>
    <w:rsid w:val="00666DF9"/>
    <w:rsid w:val="00676728"/>
    <w:rsid w:val="00682794"/>
    <w:rsid w:val="006839BA"/>
    <w:rsid w:val="00690F78"/>
    <w:rsid w:val="00693F7F"/>
    <w:rsid w:val="006A0D98"/>
    <w:rsid w:val="006A1168"/>
    <w:rsid w:val="006A1383"/>
    <w:rsid w:val="006A5C35"/>
    <w:rsid w:val="006A60F2"/>
    <w:rsid w:val="006A65C6"/>
    <w:rsid w:val="006B32D0"/>
    <w:rsid w:val="006B3398"/>
    <w:rsid w:val="006B474D"/>
    <w:rsid w:val="006B5CE4"/>
    <w:rsid w:val="006B7115"/>
    <w:rsid w:val="006C0E2F"/>
    <w:rsid w:val="006C2B0F"/>
    <w:rsid w:val="006C2CA6"/>
    <w:rsid w:val="006D1050"/>
    <w:rsid w:val="006D1281"/>
    <w:rsid w:val="006D4098"/>
    <w:rsid w:val="006E081F"/>
    <w:rsid w:val="006E0A24"/>
    <w:rsid w:val="006E16D1"/>
    <w:rsid w:val="006E4A14"/>
    <w:rsid w:val="006E6DBE"/>
    <w:rsid w:val="006F162C"/>
    <w:rsid w:val="006F2543"/>
    <w:rsid w:val="006F3C20"/>
    <w:rsid w:val="006F479D"/>
    <w:rsid w:val="006F60C9"/>
    <w:rsid w:val="006F7E52"/>
    <w:rsid w:val="007002B3"/>
    <w:rsid w:val="0070039C"/>
    <w:rsid w:val="00704250"/>
    <w:rsid w:val="00705A36"/>
    <w:rsid w:val="0070714C"/>
    <w:rsid w:val="00712AEA"/>
    <w:rsid w:val="00714887"/>
    <w:rsid w:val="00715906"/>
    <w:rsid w:val="00716045"/>
    <w:rsid w:val="007247FD"/>
    <w:rsid w:val="00732373"/>
    <w:rsid w:val="00732938"/>
    <w:rsid w:val="00732C02"/>
    <w:rsid w:val="00733E71"/>
    <w:rsid w:val="00737E11"/>
    <w:rsid w:val="0074584A"/>
    <w:rsid w:val="00747719"/>
    <w:rsid w:val="007517A3"/>
    <w:rsid w:val="00752270"/>
    <w:rsid w:val="00761AE2"/>
    <w:rsid w:val="00763F95"/>
    <w:rsid w:val="00765750"/>
    <w:rsid w:val="00767FA1"/>
    <w:rsid w:val="00775578"/>
    <w:rsid w:val="007808DF"/>
    <w:rsid w:val="00780BF6"/>
    <w:rsid w:val="00784C98"/>
    <w:rsid w:val="00791700"/>
    <w:rsid w:val="007A13A0"/>
    <w:rsid w:val="007A1F4E"/>
    <w:rsid w:val="007A7BA2"/>
    <w:rsid w:val="007B070E"/>
    <w:rsid w:val="007B42C6"/>
    <w:rsid w:val="007C1ED9"/>
    <w:rsid w:val="007C4D62"/>
    <w:rsid w:val="007C5A1E"/>
    <w:rsid w:val="007C5A7E"/>
    <w:rsid w:val="007D114F"/>
    <w:rsid w:val="007D65C5"/>
    <w:rsid w:val="007D703F"/>
    <w:rsid w:val="007D7B54"/>
    <w:rsid w:val="007E164F"/>
    <w:rsid w:val="007E1FCE"/>
    <w:rsid w:val="007E23E9"/>
    <w:rsid w:val="007E66D0"/>
    <w:rsid w:val="007E6D4C"/>
    <w:rsid w:val="007F1615"/>
    <w:rsid w:val="007F6992"/>
    <w:rsid w:val="00801070"/>
    <w:rsid w:val="00801E93"/>
    <w:rsid w:val="00807CFF"/>
    <w:rsid w:val="00811C1D"/>
    <w:rsid w:val="008155A7"/>
    <w:rsid w:val="00824FD9"/>
    <w:rsid w:val="00826B08"/>
    <w:rsid w:val="00831747"/>
    <w:rsid w:val="008325C0"/>
    <w:rsid w:val="008332A2"/>
    <w:rsid w:val="00835C18"/>
    <w:rsid w:val="00860981"/>
    <w:rsid w:val="008626F8"/>
    <w:rsid w:val="00867C18"/>
    <w:rsid w:val="00871345"/>
    <w:rsid w:val="00874D93"/>
    <w:rsid w:val="008801F3"/>
    <w:rsid w:val="0088287A"/>
    <w:rsid w:val="00883562"/>
    <w:rsid w:val="00885DD3"/>
    <w:rsid w:val="00885FBD"/>
    <w:rsid w:val="008863B8"/>
    <w:rsid w:val="0088657E"/>
    <w:rsid w:val="008870AE"/>
    <w:rsid w:val="008920C0"/>
    <w:rsid w:val="00892683"/>
    <w:rsid w:val="00893361"/>
    <w:rsid w:val="00894AF5"/>
    <w:rsid w:val="008A05BB"/>
    <w:rsid w:val="008A317E"/>
    <w:rsid w:val="008A3B74"/>
    <w:rsid w:val="008A6F92"/>
    <w:rsid w:val="008A7654"/>
    <w:rsid w:val="008B02F3"/>
    <w:rsid w:val="008B1CBD"/>
    <w:rsid w:val="008B7441"/>
    <w:rsid w:val="008C44AE"/>
    <w:rsid w:val="008C4B80"/>
    <w:rsid w:val="008C6B44"/>
    <w:rsid w:val="008C7555"/>
    <w:rsid w:val="008D03B1"/>
    <w:rsid w:val="008D1120"/>
    <w:rsid w:val="008D3667"/>
    <w:rsid w:val="008D3C17"/>
    <w:rsid w:val="008E106A"/>
    <w:rsid w:val="008E22EC"/>
    <w:rsid w:val="008E51DF"/>
    <w:rsid w:val="008E6451"/>
    <w:rsid w:val="00900428"/>
    <w:rsid w:val="00904438"/>
    <w:rsid w:val="00904A91"/>
    <w:rsid w:val="009135BD"/>
    <w:rsid w:val="00914DC6"/>
    <w:rsid w:val="00914F24"/>
    <w:rsid w:val="009168C8"/>
    <w:rsid w:val="0091721B"/>
    <w:rsid w:val="009176E8"/>
    <w:rsid w:val="00917878"/>
    <w:rsid w:val="009213CC"/>
    <w:rsid w:val="00923377"/>
    <w:rsid w:val="009235DF"/>
    <w:rsid w:val="00925598"/>
    <w:rsid w:val="00926B54"/>
    <w:rsid w:val="009271A3"/>
    <w:rsid w:val="00932BF0"/>
    <w:rsid w:val="00933ED7"/>
    <w:rsid w:val="00935605"/>
    <w:rsid w:val="00936404"/>
    <w:rsid w:val="00937B99"/>
    <w:rsid w:val="00940AE0"/>
    <w:rsid w:val="00943C7A"/>
    <w:rsid w:val="00955182"/>
    <w:rsid w:val="00955259"/>
    <w:rsid w:val="0096310A"/>
    <w:rsid w:val="009639EA"/>
    <w:rsid w:val="009647A6"/>
    <w:rsid w:val="009649C7"/>
    <w:rsid w:val="00967B3A"/>
    <w:rsid w:val="00972788"/>
    <w:rsid w:val="00974BF6"/>
    <w:rsid w:val="00977551"/>
    <w:rsid w:val="00980B27"/>
    <w:rsid w:val="00982329"/>
    <w:rsid w:val="00990231"/>
    <w:rsid w:val="0099087B"/>
    <w:rsid w:val="00994D50"/>
    <w:rsid w:val="0099508F"/>
    <w:rsid w:val="009B3BF7"/>
    <w:rsid w:val="009B3D14"/>
    <w:rsid w:val="009B73DF"/>
    <w:rsid w:val="009C2EF4"/>
    <w:rsid w:val="009D2BB4"/>
    <w:rsid w:val="009D46F1"/>
    <w:rsid w:val="009D4E15"/>
    <w:rsid w:val="009D7199"/>
    <w:rsid w:val="009D79D0"/>
    <w:rsid w:val="009E06D2"/>
    <w:rsid w:val="009E178C"/>
    <w:rsid w:val="009E5578"/>
    <w:rsid w:val="009F4287"/>
    <w:rsid w:val="00A011D5"/>
    <w:rsid w:val="00A0170B"/>
    <w:rsid w:val="00A018AE"/>
    <w:rsid w:val="00A01ADE"/>
    <w:rsid w:val="00A0415F"/>
    <w:rsid w:val="00A052C0"/>
    <w:rsid w:val="00A062E0"/>
    <w:rsid w:val="00A07EEA"/>
    <w:rsid w:val="00A1086A"/>
    <w:rsid w:val="00A10A88"/>
    <w:rsid w:val="00A13928"/>
    <w:rsid w:val="00A13E01"/>
    <w:rsid w:val="00A13E0E"/>
    <w:rsid w:val="00A13FD1"/>
    <w:rsid w:val="00A14313"/>
    <w:rsid w:val="00A212B0"/>
    <w:rsid w:val="00A21A84"/>
    <w:rsid w:val="00A22E7E"/>
    <w:rsid w:val="00A23D3C"/>
    <w:rsid w:val="00A256CD"/>
    <w:rsid w:val="00A26CF3"/>
    <w:rsid w:val="00A3135D"/>
    <w:rsid w:val="00A354E8"/>
    <w:rsid w:val="00A36D1C"/>
    <w:rsid w:val="00A36D42"/>
    <w:rsid w:val="00A4069D"/>
    <w:rsid w:val="00A40878"/>
    <w:rsid w:val="00A46E9C"/>
    <w:rsid w:val="00A54EC5"/>
    <w:rsid w:val="00A562B0"/>
    <w:rsid w:val="00A56FCD"/>
    <w:rsid w:val="00A61BA7"/>
    <w:rsid w:val="00A638D3"/>
    <w:rsid w:val="00A66D19"/>
    <w:rsid w:val="00A70E06"/>
    <w:rsid w:val="00A71079"/>
    <w:rsid w:val="00A715A4"/>
    <w:rsid w:val="00A727C6"/>
    <w:rsid w:val="00A729E3"/>
    <w:rsid w:val="00A7327E"/>
    <w:rsid w:val="00A73A6E"/>
    <w:rsid w:val="00A771D4"/>
    <w:rsid w:val="00A77AFE"/>
    <w:rsid w:val="00A77DAE"/>
    <w:rsid w:val="00A80624"/>
    <w:rsid w:val="00A83764"/>
    <w:rsid w:val="00A8639C"/>
    <w:rsid w:val="00A90186"/>
    <w:rsid w:val="00A91BEC"/>
    <w:rsid w:val="00A93024"/>
    <w:rsid w:val="00A932F1"/>
    <w:rsid w:val="00AA0849"/>
    <w:rsid w:val="00AA19AE"/>
    <w:rsid w:val="00AA2F98"/>
    <w:rsid w:val="00AA3145"/>
    <w:rsid w:val="00AA502F"/>
    <w:rsid w:val="00AB0F8A"/>
    <w:rsid w:val="00AB2D50"/>
    <w:rsid w:val="00AB37B5"/>
    <w:rsid w:val="00AB4383"/>
    <w:rsid w:val="00AB5D97"/>
    <w:rsid w:val="00AB6155"/>
    <w:rsid w:val="00AB6F93"/>
    <w:rsid w:val="00AC4E48"/>
    <w:rsid w:val="00AC730E"/>
    <w:rsid w:val="00AD4A39"/>
    <w:rsid w:val="00AD5651"/>
    <w:rsid w:val="00AD619C"/>
    <w:rsid w:val="00AE1083"/>
    <w:rsid w:val="00AE1354"/>
    <w:rsid w:val="00AE2FCB"/>
    <w:rsid w:val="00AE339A"/>
    <w:rsid w:val="00AF1E2B"/>
    <w:rsid w:val="00AF35FB"/>
    <w:rsid w:val="00AF4974"/>
    <w:rsid w:val="00AF655F"/>
    <w:rsid w:val="00AF7928"/>
    <w:rsid w:val="00B03139"/>
    <w:rsid w:val="00B045FF"/>
    <w:rsid w:val="00B12A08"/>
    <w:rsid w:val="00B12C30"/>
    <w:rsid w:val="00B152C0"/>
    <w:rsid w:val="00B16CEE"/>
    <w:rsid w:val="00B24820"/>
    <w:rsid w:val="00B251AD"/>
    <w:rsid w:val="00B255F9"/>
    <w:rsid w:val="00B303D8"/>
    <w:rsid w:val="00B33ED2"/>
    <w:rsid w:val="00B3480B"/>
    <w:rsid w:val="00B355B5"/>
    <w:rsid w:val="00B377DA"/>
    <w:rsid w:val="00B400DB"/>
    <w:rsid w:val="00B404CE"/>
    <w:rsid w:val="00B5015C"/>
    <w:rsid w:val="00B546F6"/>
    <w:rsid w:val="00B551EC"/>
    <w:rsid w:val="00B57EC1"/>
    <w:rsid w:val="00B60067"/>
    <w:rsid w:val="00B647E9"/>
    <w:rsid w:val="00B722A2"/>
    <w:rsid w:val="00B75034"/>
    <w:rsid w:val="00B754D4"/>
    <w:rsid w:val="00B83E55"/>
    <w:rsid w:val="00B83FAA"/>
    <w:rsid w:val="00B84704"/>
    <w:rsid w:val="00B85BD8"/>
    <w:rsid w:val="00B86B2A"/>
    <w:rsid w:val="00B86F5A"/>
    <w:rsid w:val="00B871D0"/>
    <w:rsid w:val="00B8791C"/>
    <w:rsid w:val="00B90E39"/>
    <w:rsid w:val="00B92378"/>
    <w:rsid w:val="00BA0922"/>
    <w:rsid w:val="00BA3E35"/>
    <w:rsid w:val="00BA6AF2"/>
    <w:rsid w:val="00BA6C39"/>
    <w:rsid w:val="00BA6FE0"/>
    <w:rsid w:val="00BA79C6"/>
    <w:rsid w:val="00BB170B"/>
    <w:rsid w:val="00BB2BD5"/>
    <w:rsid w:val="00BB5502"/>
    <w:rsid w:val="00BC2EBC"/>
    <w:rsid w:val="00BC4C8A"/>
    <w:rsid w:val="00BC7758"/>
    <w:rsid w:val="00BD2515"/>
    <w:rsid w:val="00BD491E"/>
    <w:rsid w:val="00BE386D"/>
    <w:rsid w:val="00BE48D2"/>
    <w:rsid w:val="00BF45D8"/>
    <w:rsid w:val="00BF6967"/>
    <w:rsid w:val="00C033AB"/>
    <w:rsid w:val="00C13109"/>
    <w:rsid w:val="00C21C1A"/>
    <w:rsid w:val="00C243D7"/>
    <w:rsid w:val="00C267F4"/>
    <w:rsid w:val="00C26A73"/>
    <w:rsid w:val="00C271C6"/>
    <w:rsid w:val="00C32996"/>
    <w:rsid w:val="00C32E05"/>
    <w:rsid w:val="00C351AC"/>
    <w:rsid w:val="00C35AB6"/>
    <w:rsid w:val="00C431CD"/>
    <w:rsid w:val="00C432B5"/>
    <w:rsid w:val="00C4519D"/>
    <w:rsid w:val="00C461D0"/>
    <w:rsid w:val="00C53C60"/>
    <w:rsid w:val="00C56139"/>
    <w:rsid w:val="00C56934"/>
    <w:rsid w:val="00C56CE9"/>
    <w:rsid w:val="00C57236"/>
    <w:rsid w:val="00C611A2"/>
    <w:rsid w:val="00C6289E"/>
    <w:rsid w:val="00C62916"/>
    <w:rsid w:val="00C66479"/>
    <w:rsid w:val="00C76916"/>
    <w:rsid w:val="00C76F83"/>
    <w:rsid w:val="00C80549"/>
    <w:rsid w:val="00C81F34"/>
    <w:rsid w:val="00C839FA"/>
    <w:rsid w:val="00C84C72"/>
    <w:rsid w:val="00C87544"/>
    <w:rsid w:val="00C952DD"/>
    <w:rsid w:val="00CA0176"/>
    <w:rsid w:val="00CB2452"/>
    <w:rsid w:val="00CC48F6"/>
    <w:rsid w:val="00CC608F"/>
    <w:rsid w:val="00CD354E"/>
    <w:rsid w:val="00CD4817"/>
    <w:rsid w:val="00CE0AF0"/>
    <w:rsid w:val="00CE4B9D"/>
    <w:rsid w:val="00CE6CD4"/>
    <w:rsid w:val="00CE76C4"/>
    <w:rsid w:val="00CF36A9"/>
    <w:rsid w:val="00CF7384"/>
    <w:rsid w:val="00D02CE0"/>
    <w:rsid w:val="00D04B6E"/>
    <w:rsid w:val="00D05236"/>
    <w:rsid w:val="00D0524E"/>
    <w:rsid w:val="00D06668"/>
    <w:rsid w:val="00D21F80"/>
    <w:rsid w:val="00D23990"/>
    <w:rsid w:val="00D34418"/>
    <w:rsid w:val="00D37D5B"/>
    <w:rsid w:val="00D43DF7"/>
    <w:rsid w:val="00D44616"/>
    <w:rsid w:val="00D44AA6"/>
    <w:rsid w:val="00D45A15"/>
    <w:rsid w:val="00D51F65"/>
    <w:rsid w:val="00D52CA2"/>
    <w:rsid w:val="00D54BFB"/>
    <w:rsid w:val="00D54E36"/>
    <w:rsid w:val="00D575EF"/>
    <w:rsid w:val="00D609D5"/>
    <w:rsid w:val="00D62251"/>
    <w:rsid w:val="00D62539"/>
    <w:rsid w:val="00D649B3"/>
    <w:rsid w:val="00D66A9A"/>
    <w:rsid w:val="00D66C25"/>
    <w:rsid w:val="00D74044"/>
    <w:rsid w:val="00D803C1"/>
    <w:rsid w:val="00D822EF"/>
    <w:rsid w:val="00D83EA8"/>
    <w:rsid w:val="00D86863"/>
    <w:rsid w:val="00D868F9"/>
    <w:rsid w:val="00D8721A"/>
    <w:rsid w:val="00D91C10"/>
    <w:rsid w:val="00D92BD5"/>
    <w:rsid w:val="00D94375"/>
    <w:rsid w:val="00D943E9"/>
    <w:rsid w:val="00D97970"/>
    <w:rsid w:val="00DA0BC0"/>
    <w:rsid w:val="00DA289D"/>
    <w:rsid w:val="00DA2ECC"/>
    <w:rsid w:val="00DA4A84"/>
    <w:rsid w:val="00DA7704"/>
    <w:rsid w:val="00DB0D06"/>
    <w:rsid w:val="00DB23F0"/>
    <w:rsid w:val="00DB307F"/>
    <w:rsid w:val="00DB6CE9"/>
    <w:rsid w:val="00DC0CD4"/>
    <w:rsid w:val="00DC50C3"/>
    <w:rsid w:val="00DC774A"/>
    <w:rsid w:val="00DC7826"/>
    <w:rsid w:val="00DD2683"/>
    <w:rsid w:val="00DD4907"/>
    <w:rsid w:val="00DD4984"/>
    <w:rsid w:val="00DD51D3"/>
    <w:rsid w:val="00DD52F3"/>
    <w:rsid w:val="00DE51EC"/>
    <w:rsid w:val="00DE7200"/>
    <w:rsid w:val="00DE7A4A"/>
    <w:rsid w:val="00DF0250"/>
    <w:rsid w:val="00DF0685"/>
    <w:rsid w:val="00DF1620"/>
    <w:rsid w:val="00DF1628"/>
    <w:rsid w:val="00DF1DEC"/>
    <w:rsid w:val="00DF3296"/>
    <w:rsid w:val="00DF527C"/>
    <w:rsid w:val="00DF5854"/>
    <w:rsid w:val="00DF71D0"/>
    <w:rsid w:val="00DF7F3D"/>
    <w:rsid w:val="00E07666"/>
    <w:rsid w:val="00E1051F"/>
    <w:rsid w:val="00E126C7"/>
    <w:rsid w:val="00E12959"/>
    <w:rsid w:val="00E133FD"/>
    <w:rsid w:val="00E13E18"/>
    <w:rsid w:val="00E144D8"/>
    <w:rsid w:val="00E174DD"/>
    <w:rsid w:val="00E21CCF"/>
    <w:rsid w:val="00E22C20"/>
    <w:rsid w:val="00E2477D"/>
    <w:rsid w:val="00E263E9"/>
    <w:rsid w:val="00E30FB2"/>
    <w:rsid w:val="00E317E5"/>
    <w:rsid w:val="00E33625"/>
    <w:rsid w:val="00E503ED"/>
    <w:rsid w:val="00E5245E"/>
    <w:rsid w:val="00E62820"/>
    <w:rsid w:val="00E629CD"/>
    <w:rsid w:val="00E64104"/>
    <w:rsid w:val="00E643CA"/>
    <w:rsid w:val="00E66152"/>
    <w:rsid w:val="00E665D3"/>
    <w:rsid w:val="00E71A62"/>
    <w:rsid w:val="00E7451C"/>
    <w:rsid w:val="00E7637B"/>
    <w:rsid w:val="00E800A4"/>
    <w:rsid w:val="00E81292"/>
    <w:rsid w:val="00E813F7"/>
    <w:rsid w:val="00E834E5"/>
    <w:rsid w:val="00E84AF0"/>
    <w:rsid w:val="00E863EC"/>
    <w:rsid w:val="00E87221"/>
    <w:rsid w:val="00E877CF"/>
    <w:rsid w:val="00E95330"/>
    <w:rsid w:val="00E95403"/>
    <w:rsid w:val="00EA2779"/>
    <w:rsid w:val="00EA2E3A"/>
    <w:rsid w:val="00EA40BE"/>
    <w:rsid w:val="00EA53C2"/>
    <w:rsid w:val="00EB2D2F"/>
    <w:rsid w:val="00EB30F1"/>
    <w:rsid w:val="00EB4C33"/>
    <w:rsid w:val="00EB55D3"/>
    <w:rsid w:val="00EB676E"/>
    <w:rsid w:val="00EB6A0D"/>
    <w:rsid w:val="00EC14B1"/>
    <w:rsid w:val="00EC35FF"/>
    <w:rsid w:val="00EC54C7"/>
    <w:rsid w:val="00EC577C"/>
    <w:rsid w:val="00ED2005"/>
    <w:rsid w:val="00ED2704"/>
    <w:rsid w:val="00ED3BA6"/>
    <w:rsid w:val="00ED6264"/>
    <w:rsid w:val="00ED78C7"/>
    <w:rsid w:val="00ED7F64"/>
    <w:rsid w:val="00EE18CB"/>
    <w:rsid w:val="00EE45A0"/>
    <w:rsid w:val="00EE4FBD"/>
    <w:rsid w:val="00EF063D"/>
    <w:rsid w:val="00EF293A"/>
    <w:rsid w:val="00F06698"/>
    <w:rsid w:val="00F071F3"/>
    <w:rsid w:val="00F07C51"/>
    <w:rsid w:val="00F11FB8"/>
    <w:rsid w:val="00F1386F"/>
    <w:rsid w:val="00F20759"/>
    <w:rsid w:val="00F23CE9"/>
    <w:rsid w:val="00F25C6C"/>
    <w:rsid w:val="00F26B76"/>
    <w:rsid w:val="00F278F2"/>
    <w:rsid w:val="00F27CBB"/>
    <w:rsid w:val="00F328E4"/>
    <w:rsid w:val="00F34F67"/>
    <w:rsid w:val="00F35008"/>
    <w:rsid w:val="00F3579F"/>
    <w:rsid w:val="00F3588A"/>
    <w:rsid w:val="00F36FFE"/>
    <w:rsid w:val="00F375AC"/>
    <w:rsid w:val="00F42433"/>
    <w:rsid w:val="00F43D62"/>
    <w:rsid w:val="00F44377"/>
    <w:rsid w:val="00F44A55"/>
    <w:rsid w:val="00F51ECA"/>
    <w:rsid w:val="00F53FB8"/>
    <w:rsid w:val="00F62270"/>
    <w:rsid w:val="00F64763"/>
    <w:rsid w:val="00F65179"/>
    <w:rsid w:val="00F659E9"/>
    <w:rsid w:val="00F71FAC"/>
    <w:rsid w:val="00F71FFA"/>
    <w:rsid w:val="00F74135"/>
    <w:rsid w:val="00F77568"/>
    <w:rsid w:val="00F775D5"/>
    <w:rsid w:val="00F82676"/>
    <w:rsid w:val="00F85C54"/>
    <w:rsid w:val="00F903EF"/>
    <w:rsid w:val="00F908A6"/>
    <w:rsid w:val="00F9758D"/>
    <w:rsid w:val="00F9785A"/>
    <w:rsid w:val="00FA0A09"/>
    <w:rsid w:val="00FA15E2"/>
    <w:rsid w:val="00FA50DB"/>
    <w:rsid w:val="00FA75E8"/>
    <w:rsid w:val="00FB203D"/>
    <w:rsid w:val="00FB2090"/>
    <w:rsid w:val="00FB2A9D"/>
    <w:rsid w:val="00FB3584"/>
    <w:rsid w:val="00FB7C01"/>
    <w:rsid w:val="00FC276E"/>
    <w:rsid w:val="00FC3A5B"/>
    <w:rsid w:val="00FC5B15"/>
    <w:rsid w:val="00FC667C"/>
    <w:rsid w:val="00FC7E98"/>
    <w:rsid w:val="00FD1679"/>
    <w:rsid w:val="00FD199B"/>
    <w:rsid w:val="00FD1C7D"/>
    <w:rsid w:val="00FD258D"/>
    <w:rsid w:val="00FE468C"/>
    <w:rsid w:val="00FE4B46"/>
    <w:rsid w:val="00FE5DB2"/>
    <w:rsid w:val="00FF0BA5"/>
    <w:rsid w:val="00FF1634"/>
    <w:rsid w:val="00FF5D84"/>
    <w:rsid w:val="2EA44EAF"/>
    <w:rsid w:val="56144139"/>
    <w:rsid w:val="5DB31CB2"/>
    <w:rsid w:val="63090781"/>
    <w:rsid w:val="6BDE19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EC67C"/>
  <w15:docId w15:val="{BF8F53FE-57B1-46FD-B1CF-D545E244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33571">
      <w:bodyDiv w:val="1"/>
      <w:marLeft w:val="0"/>
      <w:marRight w:val="0"/>
      <w:marTop w:val="0"/>
      <w:marBottom w:val="0"/>
      <w:divBdr>
        <w:top w:val="none" w:sz="0" w:space="0" w:color="auto"/>
        <w:left w:val="none" w:sz="0" w:space="0" w:color="auto"/>
        <w:bottom w:val="none" w:sz="0" w:space="0" w:color="auto"/>
        <w:right w:val="none" w:sz="0" w:space="0" w:color="auto"/>
      </w:divBdr>
    </w:div>
    <w:div w:id="1895003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5.xml><?xml version="1.0" encoding="utf-8"?>
<ds:datastoreItem xmlns:ds="http://schemas.openxmlformats.org/officeDocument/2006/customXml" ds:itemID="{DE2EB676-4B43-473A-8CF1-6F22842C2A1B}">
  <ds:schemaRefs>
    <ds:schemaRef ds:uri="http://schemas.openxmlformats.org/officeDocument/2006/bibliography"/>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396B72-3213-4B9E-81E4-B1D7B82B8B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4165</Words>
  <Characters>23745</Characters>
  <Application>Microsoft Office Word</Application>
  <DocSecurity>0</DocSecurity>
  <Lines>197</Lines>
  <Paragraphs>55</Paragraphs>
  <ScaleCrop>false</ScaleCrop>
  <Company>Huawei Technologies Co., Ltd.</Company>
  <LinksUpToDate>false</LinksUpToDate>
  <CharactersWithSpaces>27855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41</cp:revision>
  <dcterms:created xsi:type="dcterms:W3CDTF">2022-08-22T10:26:00Z</dcterms:created>
  <dcterms:modified xsi:type="dcterms:W3CDTF">2022-08-23T11:10:00Z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(2)NaLYKZTJmJpVL+VQnQamA1FOk7L8BNNA4+d120IhtN+WGWoxxs6U+pui0ogCUGoqJJ5SY8ox
/kbAAM17zTvZj1RvfUWQBbOczFfTJ6NBUOjP9uxLGgrouHO0EkRSFRTtZNg0+WESALT/lWbM
DFQvip+KHldQuzbTzHnm34y0Bj4Kj50iq/5HojVfPRQnwvDLhJCRrx2jfxI3TRuR60ju4dKs
m/Ixrdyws8165HFoo0</vt:lpwstr>
  </property>
  <property fmtid="{D5CDD505-2E9C-101B-9397-08002B2CF9AE}" pid="6" name="_2015_ms_pID_7253431">
    <vt:lpwstr>YSwUdaIJ/dMS0Qj1eEjiGhhdGpySWgwwi8Rfej3w8bJ4bsv8tYFXC2
W/nTzUYsou+H1OUs67DhAfrhuCFra8kMjfNRKbd7PQI3v0w7dt9RwpjmCiN5mVY/Y4KnTlPg
727WVH7erAwKlRFvogg0xIBkSxLSCGY3F4eF8GLNWXTClukQ+rNfGX7lee1N6gg7dFlR97i+
9ZHOd9BNSO9NZD8h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1660614992</vt:lpwstr>
  </property>
</Properties>
</file>